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PE100 管、PE63实壁管(含配套管件)等采购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PE100 管、PE63实壁管(含配套管件)等采购项目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val="0"/>
          <w:bCs/>
          <w:kern w:val="0"/>
          <w:sz w:val="21"/>
          <w:szCs w:val="21"/>
          <w:lang w:eastAsia="zh-CN"/>
        </w:rPr>
        <w:t>海门港新区CR21013地块西侧规划路新建工程，工期约</w:t>
      </w:r>
      <w:r>
        <w:rPr>
          <w:rFonts w:hint="eastAsia" w:ascii="新宋体" w:hAnsi="新宋体" w:eastAsia="新宋体" w:cs="新宋体"/>
          <w:b w:val="0"/>
          <w:bCs/>
          <w:kern w:val="0"/>
          <w:sz w:val="21"/>
          <w:szCs w:val="21"/>
          <w:lang w:val="en-US" w:eastAsia="zh-CN"/>
        </w:rPr>
        <w:t>60日历天，</w:t>
      </w:r>
      <w:r>
        <w:rPr>
          <w:rFonts w:hint="eastAsia" w:ascii="新宋体" w:hAnsi="新宋体" w:eastAsia="新宋体" w:cs="新宋体"/>
          <w:b w:val="0"/>
          <w:kern w:val="2"/>
          <w:sz w:val="21"/>
          <w:szCs w:val="21"/>
          <w:highlight w:val="none"/>
          <w:lang w:val="en-US" w:eastAsia="zh-CN" w:bidi="ar-SA"/>
        </w:rPr>
        <w:t>为满足工程建设需要，需采购共6项材料；</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110606.91元（数量按实结算）；</w:t>
      </w:r>
    </w:p>
    <w:p>
      <w:pPr>
        <w:widowControl/>
        <w:spacing w:line="44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widowControl/>
        <w:spacing w:line="440" w:lineRule="exact"/>
        <w:ind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 xml:space="preserve">1、 </w:t>
      </w:r>
      <w:r>
        <w:rPr>
          <w:rFonts w:hint="default" w:ascii="新宋体" w:hAnsi="新宋体" w:eastAsia="新宋体" w:cs="新宋体"/>
          <w:sz w:val="21"/>
          <w:szCs w:val="21"/>
          <w:highlight w:val="none"/>
          <w:lang w:val="en-US" w:eastAsia="zh-CN"/>
        </w:rPr>
        <w:t>硬聚氯乙烯PVC-U实壁管，环钢度≥8KN/M2，dn300（含橡胶圈），符合GB/T 20221-2006无压埋地排污、排水用硬聚氯乙烯（PVC-U）管材标准要求</w:t>
      </w:r>
      <w:r>
        <w:rPr>
          <w:rFonts w:hint="eastAsia" w:ascii="新宋体" w:hAnsi="新宋体" w:eastAsia="新宋体" w:cs="新宋体"/>
          <w:sz w:val="21"/>
          <w:szCs w:val="21"/>
          <w:highlight w:val="none"/>
          <w:lang w:val="en-US" w:eastAsia="zh-CN"/>
        </w:rPr>
        <w:t>。</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2、PE管（含配套管件）（DN200、DN100、DN75）</w:t>
      </w:r>
    </w:p>
    <w:p>
      <w:pPr>
        <w:widowControl/>
        <w:spacing w:line="440" w:lineRule="exact"/>
        <w:ind w:firstLine="630" w:firstLineChars="3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公称压力1.0Mpa(含配套管件)，符合GB/T 13663.2-2018给水用聚乙烯PE管材标准要求</w:t>
      </w:r>
    </w:p>
    <w:p>
      <w:pPr>
        <w:widowControl/>
        <w:numPr>
          <w:ilvl w:val="0"/>
          <w:numId w:val="1"/>
        </w:numPr>
        <w:spacing w:line="440" w:lineRule="exact"/>
        <w:ind w:firstLine="630" w:firstLineChars="300"/>
        <w:rPr>
          <w:rFonts w:hint="eastAsia" w:ascii="新宋体" w:hAnsi="新宋体" w:eastAsia="新宋体" w:cs="新宋体"/>
          <w:sz w:val="21"/>
          <w:szCs w:val="21"/>
          <w:highlight w:val="none"/>
          <w:lang w:val="en-US" w:eastAsia="zh-CN"/>
        </w:rPr>
      </w:pPr>
      <w:r>
        <w:rPr>
          <w:rFonts w:hint="default" w:ascii="新宋体" w:hAnsi="新宋体" w:eastAsia="新宋体" w:cs="新宋体"/>
          <w:sz w:val="21"/>
          <w:szCs w:val="21"/>
          <w:highlight w:val="none"/>
          <w:lang w:val="en-US" w:eastAsia="zh-CN"/>
        </w:rPr>
        <w:t>PE63实壁管(含配套管件)，符合GB/T 13663.2-2018给水用聚乙烯PE管材标准要求</w:t>
      </w:r>
      <w:r>
        <w:rPr>
          <w:rFonts w:hint="eastAsia" w:ascii="新宋体" w:hAnsi="新宋体" w:eastAsia="新宋体" w:cs="新宋体"/>
          <w:sz w:val="21"/>
          <w:szCs w:val="21"/>
          <w:highlight w:val="none"/>
          <w:lang w:val="en-US" w:eastAsia="zh-CN"/>
        </w:rPr>
        <w:t>。</w:t>
      </w:r>
    </w:p>
    <w:p>
      <w:pPr>
        <w:pStyle w:val="2"/>
        <w:numPr>
          <w:ilvl w:val="0"/>
          <w:numId w:val="0"/>
        </w:numPr>
        <w:rPr>
          <w:rFonts w:hint="eastAsia" w:ascii="新宋体" w:hAnsi="新宋体" w:eastAsia="新宋体" w:cs="新宋体"/>
          <w:kern w:val="2"/>
          <w:sz w:val="21"/>
          <w:szCs w:val="21"/>
          <w:highlight w:val="none"/>
          <w:lang w:val="en-US" w:eastAsia="zh-CN" w:bidi="ar-SA"/>
        </w:rPr>
      </w:pPr>
      <w:r>
        <w:rPr>
          <w:rFonts w:hint="eastAsia"/>
          <w:lang w:val="en-US" w:eastAsia="zh-CN"/>
        </w:rPr>
        <w:t xml:space="preserve">      4、 </w:t>
      </w:r>
      <w:r>
        <w:rPr>
          <w:rFonts w:hint="default" w:ascii="新宋体" w:hAnsi="新宋体" w:eastAsia="新宋体" w:cs="新宋体"/>
          <w:kern w:val="2"/>
          <w:sz w:val="21"/>
          <w:szCs w:val="21"/>
          <w:highlight w:val="none"/>
          <w:lang w:val="en-US" w:eastAsia="zh-CN" w:bidi="ar-SA"/>
        </w:rPr>
        <w:t>SC80镀锌钢管(含配套管件)，符合GB/T 3091-2015低压流体输送用焊接钢管标准要求</w:t>
      </w:r>
      <w:r>
        <w:rPr>
          <w:rFonts w:hint="eastAsia" w:ascii="新宋体" w:hAnsi="新宋体" w:eastAsia="新宋体" w:cs="新宋体"/>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2023年7月15日至7月20日（具体以现场通知为准）。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 xml:space="preserve"> 7</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11</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下午15:30前，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评委费由中标单位支付，评委费按实支付。</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供货过程中，采购人将会自行对投标产品随机抽样，送质量监督检验机构按国家标准要求进行质量检测，以此作为判定合同货物质量是否合格的最终依据。供货产品一旦抽检不合格，需方将终止合同并退货，</w:t>
      </w:r>
      <w:r>
        <w:rPr>
          <w:rFonts w:hint="eastAsia" w:ascii="新宋体" w:hAnsi="新宋体" w:eastAsia="新宋体" w:cs="新宋体"/>
          <w:sz w:val="21"/>
          <w:szCs w:val="21"/>
          <w:highlight w:val="none"/>
          <w:lang w:val="en-US" w:eastAsia="zh-CN"/>
        </w:rPr>
        <w:t>检测费、误工费等</w:t>
      </w:r>
      <w:r>
        <w:rPr>
          <w:rFonts w:hint="eastAsia" w:ascii="新宋体" w:hAnsi="新宋体" w:eastAsia="新宋体" w:cs="新宋体"/>
          <w:sz w:val="21"/>
          <w:szCs w:val="21"/>
          <w:highlight w:val="none"/>
          <w:lang w:eastAsia="zh-CN"/>
        </w:rPr>
        <w:t>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新宋体" w:hAnsi="新宋体" w:eastAsia="新宋体" w:cs="新宋体"/>
          <w:color w:val="000000" w:themeColor="text1"/>
          <w:sz w:val="21"/>
          <w:szCs w:val="21"/>
          <w:highlight w:val="none"/>
          <w:lang w:eastAsia="zh-CN"/>
          <w14:textFill>
            <w14:solidFill>
              <w14:schemeClr w14:val="tx1"/>
            </w14:solidFill>
          </w14:textFill>
        </w:rPr>
      </w:pPr>
      <w:r>
        <w:rPr>
          <w:rFonts w:hint="eastAsia" w:ascii="新宋体" w:hAnsi="新宋体" w:eastAsia="新宋体" w:cs="新宋体"/>
          <w:b/>
          <w:color w:val="000000" w:themeColor="text1"/>
          <w:kern w:val="0"/>
          <w:sz w:val="21"/>
          <w:szCs w:val="21"/>
          <w:highlight w:val="none"/>
          <w:lang w:val="en-US" w:eastAsia="zh-CN"/>
          <w14:textFill>
            <w14:solidFill>
              <w14:schemeClr w14:val="tx1"/>
            </w14:solidFill>
          </w14:textFill>
        </w:rPr>
        <w:t>8、付款方式：</w:t>
      </w:r>
      <w:r>
        <w:rPr>
          <w:rFonts w:hint="eastAsia" w:ascii="新宋体" w:hAnsi="新宋体" w:eastAsia="新宋体" w:cs="新宋体"/>
          <w:color w:val="000000"/>
          <w:sz w:val="21"/>
          <w:szCs w:val="21"/>
          <w:highlight w:val="none"/>
          <w:lang w:eastAsia="zh-CN"/>
        </w:rPr>
        <w:t>材料经验收检测合格后付</w:t>
      </w:r>
      <w:r>
        <w:rPr>
          <w:rFonts w:hint="eastAsia" w:ascii="新宋体" w:hAnsi="新宋体" w:eastAsia="新宋体" w:cs="新宋体"/>
          <w:color w:val="000000"/>
          <w:sz w:val="21"/>
          <w:szCs w:val="21"/>
          <w:highlight w:val="none"/>
          <w:lang w:val="en-US" w:eastAsia="zh-CN"/>
        </w:rPr>
        <w:t>6</w:t>
      </w:r>
      <w:r>
        <w:rPr>
          <w:rFonts w:hint="eastAsia" w:ascii="新宋体" w:hAnsi="新宋体" w:eastAsia="新宋体" w:cs="新宋体"/>
          <w:color w:val="000000"/>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color w:val="000000"/>
          <w:sz w:val="21"/>
          <w:szCs w:val="21"/>
          <w:highlight w:val="none"/>
          <w:lang w:val="en-US" w:eastAsia="zh-CN"/>
        </w:rPr>
        <w:t>13%</w:t>
      </w:r>
      <w:r>
        <w:rPr>
          <w:rFonts w:hint="eastAsia" w:ascii="新宋体" w:hAnsi="新宋体" w:eastAsia="新宋体" w:cs="新宋体"/>
          <w:color w:val="000000"/>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0513 86931075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7</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5</w:t>
      </w:r>
      <w:bookmarkStart w:id="0" w:name="_GoBack"/>
      <w:bookmarkEnd w:id="0"/>
      <w:r>
        <w:rPr>
          <w:rFonts w:hint="eastAsia" w:ascii="新宋体" w:hAnsi="新宋体" w:eastAsia="新宋体" w:cs="新宋体"/>
          <w:sz w:val="21"/>
          <w:szCs w:val="21"/>
          <w:lang w:val="en-US" w:eastAsia="zh-CN"/>
        </w:rPr>
        <w:t>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4"/>
        <w:gridCol w:w="1174"/>
        <w:gridCol w:w="158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材料名称及规格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硬聚氯乙烯PVC-U实壁管，环钢度≥8KN/M2，dn300（含橡胶圈）</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149.60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PE100 管，管径 DN200，公称压力1.0Mpa(含配套管件)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341.00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PE100 管，管径 DN100，公称压力1.0Mpa(含配套管件)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13.20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PE100 管，管径 DN75，公称压力1.0Mpa(含配套管件)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13.20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PE63实壁管(含配套管件)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913.00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SC80镀锌钢管(含配套管件)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407.00 </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9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5"/>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报价包含招标标的物全部内容的材料及其、货物运输、装卸、运输保险、税金、售后质保服务等所有与本项目相关的费用。本项目所有费用一次性包定。请各供应商在报价时请充分考虑各种因素。</w:t>
      </w:r>
    </w:p>
    <w:p>
      <w:pPr>
        <w:pStyle w:val="4"/>
        <w:numPr>
          <w:ilvl w:val="0"/>
          <w:numId w:val="0"/>
        </w:numPr>
        <w:spacing w:line="360" w:lineRule="auto"/>
        <w:ind w:firstLine="280" w:firstLineChars="100"/>
        <w:rPr>
          <w:rFonts w:hint="eastAsia" w:ascii="仿宋_GB2312" w:hAnsi="仿宋_GB2312" w:eastAsia="仿宋_GB2312" w:cs="仿宋_GB2312"/>
          <w:sz w:val="28"/>
          <w:szCs w:val="28"/>
          <w:lang w:eastAsia="zh-CN"/>
        </w:rPr>
      </w:pPr>
    </w:p>
    <w:p>
      <w:pPr>
        <w:pStyle w:val="4"/>
        <w:numPr>
          <w:ilvl w:val="0"/>
          <w:numId w:val="0"/>
        </w:num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rPr>
      </w:pP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rPr>
          <w:rFonts w:hint="eastAsia" w:eastAsia="仿宋_GB2312"/>
          <w:sz w:val="28"/>
          <w:szCs w:val="28"/>
        </w:rPr>
      </w:pPr>
    </w:p>
    <w:p>
      <w:pPr>
        <w:spacing w:line="400" w:lineRule="exact"/>
        <w:rPr>
          <w:rFonts w:hint="default" w:eastAsia="仿宋_GB2312"/>
          <w:sz w:val="28"/>
          <w:szCs w:val="28"/>
          <w:lang w:val="en-US" w:eastAsia="zh-CN"/>
        </w:rPr>
      </w:pPr>
    </w:p>
    <w:p>
      <w:pPr>
        <w:spacing w:before="120" w:beforeLines="50" w:after="120" w:afterLines="50"/>
        <w:jc w:val="both"/>
        <w:rPr>
          <w:rFonts w:eastAsia="黑体"/>
          <w:sz w:val="28"/>
          <w:szCs w:val="28"/>
          <w:highlight w:val="none"/>
        </w:rPr>
      </w:pPr>
    </w:p>
    <w:p>
      <w:pPr>
        <w:spacing w:before="120" w:beforeLines="50" w:after="120" w:afterLines="50"/>
        <w:jc w:val="both"/>
        <w:rPr>
          <w:rFonts w:eastAsia="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ind w:left="0" w:leftChars="0" w:firstLine="0" w:firstLineChars="0"/>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0809"/>
    <w:multiLevelType w:val="singleLevel"/>
    <w:tmpl w:val="845B080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5212F"/>
    <w:rsid w:val="04A50BBF"/>
    <w:rsid w:val="0536722F"/>
    <w:rsid w:val="05E51322"/>
    <w:rsid w:val="0669255C"/>
    <w:rsid w:val="06EC66E0"/>
    <w:rsid w:val="08204E54"/>
    <w:rsid w:val="09426A9F"/>
    <w:rsid w:val="09AF5ECF"/>
    <w:rsid w:val="0A32376B"/>
    <w:rsid w:val="0A7975FC"/>
    <w:rsid w:val="0B2179B5"/>
    <w:rsid w:val="0B6D60DB"/>
    <w:rsid w:val="0C4B4392"/>
    <w:rsid w:val="0CDC2E52"/>
    <w:rsid w:val="0E1944B9"/>
    <w:rsid w:val="0F5865F9"/>
    <w:rsid w:val="10015CAE"/>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AD4C62"/>
    <w:rsid w:val="214308D6"/>
    <w:rsid w:val="22001566"/>
    <w:rsid w:val="22F4579D"/>
    <w:rsid w:val="24B3270E"/>
    <w:rsid w:val="25500B83"/>
    <w:rsid w:val="261D4E54"/>
    <w:rsid w:val="26246BDA"/>
    <w:rsid w:val="272C4834"/>
    <w:rsid w:val="27337EA0"/>
    <w:rsid w:val="274B11CB"/>
    <w:rsid w:val="285D2684"/>
    <w:rsid w:val="28A264D2"/>
    <w:rsid w:val="28E01405"/>
    <w:rsid w:val="28F2343C"/>
    <w:rsid w:val="290C4BE6"/>
    <w:rsid w:val="29167B5F"/>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C36025"/>
    <w:rsid w:val="31EB6A22"/>
    <w:rsid w:val="32E323D6"/>
    <w:rsid w:val="32EA59E0"/>
    <w:rsid w:val="33C049FD"/>
    <w:rsid w:val="33F0079A"/>
    <w:rsid w:val="35F1601E"/>
    <w:rsid w:val="36A4441A"/>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110479E"/>
    <w:rsid w:val="412F731A"/>
    <w:rsid w:val="414803DC"/>
    <w:rsid w:val="418C6013"/>
    <w:rsid w:val="42103A21"/>
    <w:rsid w:val="42310CD2"/>
    <w:rsid w:val="427F68B8"/>
    <w:rsid w:val="42D10BBC"/>
    <w:rsid w:val="435F273B"/>
    <w:rsid w:val="436B7FDA"/>
    <w:rsid w:val="43707F92"/>
    <w:rsid w:val="43EE5C68"/>
    <w:rsid w:val="44B32010"/>
    <w:rsid w:val="458959D4"/>
    <w:rsid w:val="45BA1E51"/>
    <w:rsid w:val="468F3468"/>
    <w:rsid w:val="47120723"/>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E024AA5"/>
    <w:rsid w:val="4EE536A8"/>
    <w:rsid w:val="4F147B4F"/>
    <w:rsid w:val="4FB35C8C"/>
    <w:rsid w:val="500D694B"/>
    <w:rsid w:val="52E02222"/>
    <w:rsid w:val="534B3C62"/>
    <w:rsid w:val="549D67BA"/>
    <w:rsid w:val="54B87E29"/>
    <w:rsid w:val="55B66130"/>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761C28"/>
    <w:rsid w:val="62F32D38"/>
    <w:rsid w:val="631A740A"/>
    <w:rsid w:val="6336277D"/>
    <w:rsid w:val="63C445C8"/>
    <w:rsid w:val="64285AC1"/>
    <w:rsid w:val="64417F62"/>
    <w:rsid w:val="650418B5"/>
    <w:rsid w:val="66067D9A"/>
    <w:rsid w:val="66117058"/>
    <w:rsid w:val="66AD0E93"/>
    <w:rsid w:val="69152919"/>
    <w:rsid w:val="694C3F80"/>
    <w:rsid w:val="69C56E29"/>
    <w:rsid w:val="6B0831C2"/>
    <w:rsid w:val="6B382892"/>
    <w:rsid w:val="6D187100"/>
    <w:rsid w:val="6DC8512C"/>
    <w:rsid w:val="6DDB4AA1"/>
    <w:rsid w:val="6DE244ED"/>
    <w:rsid w:val="6DE752F6"/>
    <w:rsid w:val="6F806465"/>
    <w:rsid w:val="6FFB08CE"/>
    <w:rsid w:val="709E0E70"/>
    <w:rsid w:val="70D373F9"/>
    <w:rsid w:val="711A5A94"/>
    <w:rsid w:val="71C56874"/>
    <w:rsid w:val="720E53D0"/>
    <w:rsid w:val="725B146D"/>
    <w:rsid w:val="73CE5DC4"/>
    <w:rsid w:val="745540AB"/>
    <w:rsid w:val="74696271"/>
    <w:rsid w:val="75F46CBE"/>
    <w:rsid w:val="762647C2"/>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3"/>
    <w:qFormat/>
    <w:uiPriority w:val="99"/>
    <w:rPr>
      <w:rFonts w:ascii="宋体" w:hAnsi="Courier New"/>
      <w:sz w:val="24"/>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spacing w:line="360" w:lineRule="auto"/>
      <w:ind w:firstLine="482"/>
    </w:pPr>
    <w:rPr>
      <w:b/>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2"/>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2044</Words>
  <Characters>2302</Characters>
  <Lines>13</Lines>
  <Paragraphs>3</Paragraphs>
  <TotalTime>3</TotalTime>
  <ScaleCrop>false</ScaleCrop>
  <LinksUpToDate>false</LinksUpToDate>
  <CharactersWithSpaces>2864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2023-07-04T05:42:00Z</cp:lastPrinted>
  <dcterms:modified xsi:type="dcterms:W3CDTF">2023-07-05T07:29:45Z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