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highlight w:val="none"/>
        </w:rPr>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虫害防治服务</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none"/>
          <w:lang w:eastAsia="zh-CN"/>
        </w:rPr>
      </w:pP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虫害防治服务</w:t>
      </w:r>
      <w:r>
        <w:rPr>
          <w:rFonts w:hint="eastAsia"/>
          <w:sz w:val="28"/>
          <w:szCs w:val="28"/>
          <w:highlight w:val="none"/>
          <w:u w:val="none"/>
          <w:lang w:eastAsia="zh-CN"/>
        </w:rPr>
        <w:t>项目</w:t>
      </w:r>
    </w:p>
    <w:p>
      <w:pPr>
        <w:spacing w:line="360" w:lineRule="auto"/>
        <w:rPr>
          <w:sz w:val="28"/>
          <w:szCs w:val="28"/>
          <w:highlight w:val="none"/>
          <w:u w:val="non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 xml:space="preserve">年 </w:t>
      </w:r>
      <w:r>
        <w:rPr>
          <w:rFonts w:hint="eastAsia"/>
          <w:sz w:val="28"/>
          <w:szCs w:val="28"/>
          <w:highlight w:val="none"/>
          <w:lang w:val="en-US" w:eastAsia="zh-CN"/>
        </w:rPr>
        <w:t xml:space="preserve"> 7 </w:t>
      </w:r>
      <w:r>
        <w:rPr>
          <w:rFonts w:hint="eastAsia"/>
          <w:sz w:val="28"/>
          <w:szCs w:val="28"/>
          <w:highlight w:val="none"/>
        </w:rPr>
        <w:t>月</w:t>
      </w:r>
      <w:r>
        <w:rPr>
          <w:rFonts w:hint="eastAsia"/>
          <w:sz w:val="28"/>
          <w:szCs w:val="28"/>
          <w:highlight w:val="none"/>
          <w:lang w:val="en-US" w:eastAsia="zh-CN"/>
        </w:rPr>
        <w:t xml:space="preserve">  7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虫害防治服务</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南北楼虫害防治服务</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3"/>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3"/>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3"/>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3"/>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3"/>
        <w:widowControl/>
        <w:numPr>
          <w:ilvl w:val="0"/>
          <w:numId w:val="0"/>
        </w:numPr>
        <w:spacing w:line="360" w:lineRule="auto"/>
        <w:ind w:firstLine="480" w:firstLineChars="200"/>
        <w:jc w:val="left"/>
        <w:rPr>
          <w:rFonts w:hint="default"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spacing w:line="360" w:lineRule="auto"/>
        <w:ind w:firstLine="480" w:firstLineChars="200"/>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6、须达到《有害生物防制服务机构能力等级评定》标准A级的要求；</w:t>
      </w:r>
    </w:p>
    <w:p>
      <w:pPr>
        <w:spacing w:line="360" w:lineRule="auto"/>
        <w:rPr>
          <w:rFonts w:hint="eastAsia" w:ascii="宋体" w:hAnsi="宋体" w:eastAsiaTheme="minorEastAsia"/>
          <w:b/>
          <w:sz w:val="24"/>
          <w:szCs w:val="24"/>
          <w:highlight w:val="none"/>
          <w:lang w:eastAsia="zh-CN"/>
        </w:rPr>
      </w:pPr>
      <w:r>
        <w:rPr>
          <w:rFonts w:hint="eastAsia" w:ascii="宋体" w:hAnsi="宋体"/>
          <w:b/>
          <w:sz w:val="24"/>
          <w:szCs w:val="24"/>
          <w:highlight w:val="none"/>
          <w:lang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1、防制外围：</w:t>
      </w:r>
      <w:r>
        <w:rPr>
          <w:rFonts w:hint="eastAsia" w:ascii="宋体" w:hAnsi="宋体" w:eastAsia="宋体" w:cs="宋体"/>
          <w:sz w:val="24"/>
          <w:szCs w:val="24"/>
          <w:lang w:eastAsia="zh-CN"/>
        </w:rPr>
        <w:t>酒店内外区域（厨房，餐厅，客房）</w:t>
      </w:r>
      <w:r>
        <w:rPr>
          <w:rFonts w:hint="eastAsia" w:ascii="宋体" w:hAnsi="宋体" w:eastAsia="宋体" w:cs="宋体"/>
          <w:sz w:val="24"/>
          <w:szCs w:val="24"/>
        </w:rPr>
        <w:t xml:space="preserve"> </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2、防制项目：</w:t>
      </w:r>
      <w:r>
        <w:rPr>
          <w:rFonts w:hint="eastAsia" w:ascii="宋体" w:hAnsi="宋体" w:eastAsia="宋体" w:cs="宋体"/>
          <w:sz w:val="24"/>
          <w:szCs w:val="24"/>
          <w:lang w:val="en-US" w:eastAsia="zh-CN"/>
        </w:rPr>
        <w:t>1、</w:t>
      </w:r>
      <w:r>
        <w:rPr>
          <w:rFonts w:hint="eastAsia" w:ascii="宋体" w:hAnsi="宋体" w:eastAsia="宋体" w:cs="宋体"/>
          <w:sz w:val="24"/>
          <w:szCs w:val="24"/>
        </w:rPr>
        <w:t>鼠；</w:t>
      </w:r>
      <w:r>
        <w:rPr>
          <w:rFonts w:hint="eastAsia" w:ascii="宋体" w:hAnsi="宋体" w:eastAsia="宋体" w:cs="宋体"/>
          <w:sz w:val="24"/>
          <w:szCs w:val="24"/>
          <w:lang w:val="en-US" w:eastAsia="zh-CN"/>
        </w:rPr>
        <w:t>2、</w:t>
      </w:r>
      <w:r>
        <w:rPr>
          <w:rFonts w:hint="eastAsia" w:ascii="宋体" w:hAnsi="宋体" w:eastAsia="宋体" w:cs="宋体"/>
          <w:sz w:val="24"/>
          <w:szCs w:val="24"/>
        </w:rPr>
        <w:t>蜚蠊3、蚊蝇</w:t>
      </w:r>
      <w:r>
        <w:rPr>
          <w:rFonts w:hint="eastAsia" w:ascii="宋体" w:hAnsi="宋体" w:eastAsia="宋体" w:cs="宋体"/>
          <w:sz w:val="24"/>
          <w:szCs w:val="24"/>
          <w:lang w:val="en-US" w:eastAsia="zh-CN"/>
        </w:rPr>
        <w:t>4、蛾蜢</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、应急服务：应急处理保证在目标虫害突发出现时2小时内做出积极反应；保证非目标虫害突发出现时能在4小时内给予反馈，8小时内做出正确鉴别并提出有效防治方法。</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4、服务频次：</w:t>
      </w:r>
    </w:p>
    <w:tbl>
      <w:tblPr>
        <w:tblStyle w:val="11"/>
        <w:tblpPr w:leftFromText="180" w:rightFromText="180" w:vertAnchor="text" w:horzAnchor="page" w:tblpX="1957" w:tblpY="458"/>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130"/>
        <w:gridCol w:w="2190"/>
        <w:gridCol w:w="130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4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服务项目</w:t>
            </w:r>
          </w:p>
        </w:tc>
        <w:tc>
          <w:tcPr>
            <w:tcW w:w="213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涉及区域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南楼</w:t>
            </w:r>
            <w:r>
              <w:rPr>
                <w:rFonts w:hint="eastAsia" w:ascii="宋体" w:hAnsi="宋体" w:eastAsia="宋体" w:cs="宋体"/>
                <w:sz w:val="24"/>
                <w:szCs w:val="24"/>
                <w:lang w:eastAsia="zh-CN"/>
              </w:rPr>
              <w:t>）</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防制频次</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全年次数</w:t>
            </w:r>
          </w:p>
        </w:tc>
        <w:tc>
          <w:tcPr>
            <w:tcW w:w="122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鼠类防制</w:t>
            </w: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厨房区域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外环境区</w:t>
            </w:r>
            <w:r>
              <w:rPr>
                <w:rFonts w:hint="eastAsia" w:ascii="宋体" w:hAnsi="宋体" w:eastAsia="宋体" w:cs="宋体"/>
                <w:sz w:val="24"/>
                <w:szCs w:val="24"/>
                <w:lang w:val="en-US" w:eastAsia="zh-CN"/>
              </w:rPr>
              <w:t xml:space="preserve">域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含别墅外围）</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全年1次/月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蚊蝇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蛾蜢</w:t>
            </w:r>
            <w:r>
              <w:rPr>
                <w:rFonts w:hint="eastAsia" w:ascii="宋体" w:hAnsi="宋体" w:eastAsia="宋体" w:cs="宋体"/>
                <w:sz w:val="24"/>
                <w:szCs w:val="24"/>
              </w:rPr>
              <w:t>等飞虫防制</w:t>
            </w: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厨房区域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客房区域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含别墅房间区域</w:t>
            </w:r>
            <w:r>
              <w:rPr>
                <w:rFonts w:hint="eastAsia" w:ascii="宋体" w:hAnsi="宋体" w:eastAsia="宋体" w:cs="宋体"/>
                <w:color w:val="000000" w:themeColor="text1"/>
                <w:sz w:val="24"/>
                <w:szCs w:val="24"/>
                <w:lang w:eastAsia="zh-CN"/>
                <w14:textFill>
                  <w14:solidFill>
                    <w14:schemeClr w14:val="tx1"/>
                  </w14:solidFill>
                </w14:textFill>
              </w:rPr>
              <w:t>）</w:t>
            </w:r>
          </w:p>
        </w:tc>
        <w:tc>
          <w:tcPr>
            <w:tcW w:w="2190"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5-10月份 4次/月</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其余月份 </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次/月</w:t>
            </w:r>
          </w:p>
        </w:tc>
        <w:tc>
          <w:tcPr>
            <w:tcW w:w="1305"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p>
        </w:tc>
        <w:tc>
          <w:tcPr>
            <w:tcW w:w="1222"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外环境区域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含别墅外围）</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全年1次/月</w:t>
            </w:r>
          </w:p>
        </w:tc>
        <w:tc>
          <w:tcPr>
            <w:tcW w:w="130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蜚蠊防治</w:t>
            </w: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厨房区域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bl>
    <w:p>
      <w:pPr>
        <w:widowControl w:val="0"/>
        <w:numPr>
          <w:ilvl w:val="0"/>
          <w:numId w:val="0"/>
        </w:numPr>
        <w:jc w:val="both"/>
        <w:rPr>
          <w:rFonts w:hint="eastAsia" w:ascii="宋体" w:hAnsi="宋体" w:eastAsia="宋体" w:cs="宋体"/>
          <w:sz w:val="24"/>
          <w:szCs w:val="24"/>
          <w:lang w:val="en-US" w:eastAsia="zh-CN"/>
        </w:rPr>
      </w:pPr>
    </w:p>
    <w:tbl>
      <w:tblPr>
        <w:tblStyle w:val="11"/>
        <w:tblpPr w:leftFromText="180" w:rightFromText="180" w:vertAnchor="text" w:horzAnchor="page" w:tblpX="1972" w:tblpY="204"/>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130"/>
        <w:gridCol w:w="2190"/>
        <w:gridCol w:w="130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44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服务项目</w:t>
            </w:r>
          </w:p>
        </w:tc>
        <w:tc>
          <w:tcPr>
            <w:tcW w:w="213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涉及区域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北楼</w:t>
            </w:r>
            <w:r>
              <w:rPr>
                <w:rFonts w:hint="eastAsia" w:ascii="宋体" w:hAnsi="宋体" w:eastAsia="宋体" w:cs="宋体"/>
                <w:sz w:val="24"/>
                <w:szCs w:val="24"/>
                <w:lang w:eastAsia="zh-CN"/>
              </w:rPr>
              <w:t>）</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防制频次</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全年次数</w:t>
            </w:r>
          </w:p>
        </w:tc>
        <w:tc>
          <w:tcPr>
            <w:tcW w:w="122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鼠类防制</w:t>
            </w: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厨房区域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外环境区</w:t>
            </w:r>
            <w:r>
              <w:rPr>
                <w:rFonts w:hint="eastAsia" w:ascii="宋体" w:hAnsi="宋体" w:eastAsia="宋体" w:cs="宋体"/>
                <w:sz w:val="24"/>
                <w:szCs w:val="24"/>
                <w:lang w:val="en-US" w:eastAsia="zh-CN"/>
              </w:rPr>
              <w:t xml:space="preserve">域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含别墅外围）</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全年1次/月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蚊蝇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蛾蜢</w:t>
            </w:r>
            <w:r>
              <w:rPr>
                <w:rFonts w:hint="eastAsia" w:ascii="宋体" w:hAnsi="宋体" w:eastAsia="宋体" w:cs="宋体"/>
                <w:sz w:val="24"/>
                <w:szCs w:val="24"/>
              </w:rPr>
              <w:t>等飞虫防制</w:t>
            </w: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厨房区域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客房区域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含别墅房间区域</w:t>
            </w:r>
            <w:r>
              <w:rPr>
                <w:rFonts w:hint="eastAsia" w:ascii="宋体" w:hAnsi="宋体" w:eastAsia="宋体" w:cs="宋体"/>
                <w:sz w:val="24"/>
                <w:szCs w:val="24"/>
                <w:lang w:eastAsia="zh-CN"/>
              </w:rPr>
              <w:t>）</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1次/季度</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外环境区域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含别墅外围）</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全年1次/月</w:t>
            </w:r>
          </w:p>
        </w:tc>
        <w:tc>
          <w:tcPr>
            <w:tcW w:w="130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蜚蠊防治</w:t>
            </w: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厨房区域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jc w:val="center"/>
              <w:rPr>
                <w:rFonts w:hint="eastAsia" w:ascii="宋体" w:hAnsi="宋体" w:eastAsia="宋体" w:cs="宋体"/>
                <w:sz w:val="24"/>
                <w:szCs w:val="24"/>
              </w:rPr>
            </w:pPr>
          </w:p>
        </w:tc>
        <w:tc>
          <w:tcPr>
            <w:tcW w:w="21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其他区域</w:t>
            </w:r>
          </w:p>
        </w:tc>
        <w:tc>
          <w:tcPr>
            <w:tcW w:w="21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5-10月份 4次/月</w:t>
            </w:r>
          </w:p>
          <w:p>
            <w:pPr>
              <w:jc w:val="center"/>
              <w:rPr>
                <w:rFonts w:hint="eastAsia" w:ascii="宋体" w:hAnsi="宋体" w:eastAsia="宋体" w:cs="宋体"/>
                <w:sz w:val="24"/>
                <w:szCs w:val="24"/>
              </w:rPr>
            </w:pPr>
            <w:r>
              <w:rPr>
                <w:rFonts w:hint="eastAsia" w:ascii="宋体" w:hAnsi="宋体" w:eastAsia="宋体" w:cs="宋体"/>
                <w:sz w:val="24"/>
                <w:szCs w:val="24"/>
              </w:rPr>
              <w:t xml:space="preserve">其余月份 </w:t>
            </w:r>
            <w:r>
              <w:rPr>
                <w:rFonts w:hint="eastAsia" w:ascii="宋体" w:hAnsi="宋体" w:eastAsia="宋体" w:cs="宋体"/>
                <w:sz w:val="24"/>
                <w:szCs w:val="24"/>
                <w:lang w:val="en-US" w:eastAsia="zh-CN"/>
              </w:rPr>
              <w:t>2</w:t>
            </w:r>
            <w:r>
              <w:rPr>
                <w:rFonts w:hint="eastAsia" w:ascii="宋体" w:hAnsi="宋体" w:eastAsia="宋体" w:cs="宋体"/>
                <w:sz w:val="24"/>
                <w:szCs w:val="24"/>
              </w:rPr>
              <w:t>次/月</w:t>
            </w:r>
          </w:p>
        </w:tc>
        <w:tc>
          <w:tcPr>
            <w:tcW w:w="13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222" w:type="dxa"/>
            <w:vAlign w:val="center"/>
          </w:tcPr>
          <w:p>
            <w:pPr>
              <w:jc w:val="center"/>
              <w:rPr>
                <w:rFonts w:hint="eastAsia" w:ascii="宋体" w:hAnsi="宋体" w:eastAsia="宋体" w:cs="宋体"/>
                <w:sz w:val="24"/>
                <w:szCs w:val="24"/>
              </w:rPr>
            </w:pPr>
          </w:p>
        </w:tc>
      </w:tr>
    </w:tbl>
    <w:p>
      <w:pPr>
        <w:numPr>
          <w:ilvl w:val="0"/>
          <w:numId w:val="0"/>
        </w:numPr>
        <w:ind w:leftChars="0"/>
        <w:jc w:val="left"/>
        <w:rPr>
          <w:rFonts w:hint="default" w:ascii="宋体" w:hAnsi="宋体" w:eastAsia="宋体" w:cs="宋体"/>
          <w:sz w:val="24"/>
          <w:szCs w:val="24"/>
          <w:lang w:val="en-US" w:eastAsia="zh-CN"/>
        </w:rPr>
      </w:pPr>
    </w:p>
    <w:p>
      <w:pPr>
        <w:numPr>
          <w:ilvl w:val="0"/>
          <w:numId w:val="1"/>
        </w:numPr>
        <w:ind w:left="210" w:leftChars="0"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乙方以包工、包料方式承接甲方委托的虫害作业，乙方进行作业所用的专用机械、工具 及各种杀虫剂等物品均自行负责</w:t>
      </w:r>
      <w:r>
        <w:rPr>
          <w:rFonts w:ascii="宋体" w:hAnsi="宋体" w:eastAsia="宋体" w:cs="宋体"/>
          <w:sz w:val="32"/>
          <w:szCs w:val="32"/>
        </w:rPr>
        <w:t>。</w:t>
      </w:r>
      <w:r>
        <w:rPr>
          <w:rFonts w:hint="eastAsia" w:ascii="宋体" w:hAnsi="宋体" w:eastAsia="宋体" w:cs="宋体"/>
          <w:sz w:val="24"/>
          <w:szCs w:val="24"/>
          <w:lang w:val="en-US" w:eastAsia="zh-CN"/>
        </w:rPr>
        <w:t>在合同期内，免费提供给北楼粘捕式捕虫灯不少于 30 台，南楼粘捕式捕虫灯不少于 10 台；北楼鼠饵站不少于62个，南楼鼠饵站不少于35个。使用权为甲方，所有权为乙方。</w:t>
      </w:r>
    </w:p>
    <w:p>
      <w:pPr>
        <w:numPr>
          <w:ilvl w:val="0"/>
          <w:numId w:val="1"/>
        </w:numPr>
        <w:spacing w:line="420" w:lineRule="exact"/>
        <w:ind w:left="210" w:leftChars="0" w:firstLine="0" w:firstLineChars="0"/>
        <w:rPr>
          <w:rFonts w:hint="eastAsia" w:ascii="宋体" w:hAnsi="宋体" w:eastAsia="宋体" w:cs="宋体"/>
          <w:sz w:val="24"/>
          <w:szCs w:val="24"/>
        </w:rPr>
      </w:pPr>
      <w:r>
        <w:rPr>
          <w:rFonts w:hint="eastAsia" w:ascii="宋体" w:hAnsi="宋体" w:eastAsia="宋体" w:cs="宋体"/>
          <w:sz w:val="24"/>
          <w:szCs w:val="24"/>
        </w:rPr>
        <w:t>确保病媒生物防治效果符合以下国家标准</w:t>
      </w:r>
    </w:p>
    <w:p>
      <w:pPr>
        <w:snapToGrid w:val="0"/>
        <w:spacing w:line="480" w:lineRule="exact"/>
        <w:ind w:firstLine="600" w:firstLineChars="250"/>
        <w:outlineLvl w:val="1"/>
        <w:rPr>
          <w:rFonts w:hint="eastAsia" w:ascii="宋体" w:hAnsi="宋体" w:eastAsia="宋体" w:cs="宋体"/>
          <w:sz w:val="24"/>
          <w:szCs w:val="24"/>
          <w:lang w:eastAsia="zh-CN"/>
        </w:rPr>
      </w:pPr>
      <w:r>
        <w:rPr>
          <w:rFonts w:hint="eastAsia" w:ascii="宋体" w:hAnsi="宋体" w:eastAsia="宋体" w:cs="宋体"/>
          <w:sz w:val="24"/>
          <w:szCs w:val="24"/>
        </w:rPr>
        <w:t xml:space="preserve">鼠密度控制：参照GB-T 27770-2011中5.1.2项，采用夹夜法，鼠迹阳性率小于或等于1% </w:t>
      </w:r>
      <w:r>
        <w:rPr>
          <w:rFonts w:hint="eastAsia" w:ascii="宋体" w:hAnsi="宋体" w:eastAsia="宋体" w:cs="宋体"/>
          <w:sz w:val="24"/>
          <w:szCs w:val="24"/>
          <w:lang w:eastAsia="zh-CN"/>
        </w:rPr>
        <w:t>。</w:t>
      </w:r>
    </w:p>
    <w:p>
      <w:pPr>
        <w:snapToGrid w:val="0"/>
        <w:spacing w:line="480" w:lineRule="exact"/>
        <w:ind w:firstLine="600" w:firstLineChars="250"/>
        <w:outlineLvl w:val="1"/>
        <w:rPr>
          <w:rFonts w:hint="eastAsia" w:ascii="宋体" w:hAnsi="宋体" w:eastAsia="宋体" w:cs="宋体"/>
          <w:sz w:val="24"/>
          <w:szCs w:val="24"/>
          <w:lang w:eastAsia="zh-CN"/>
        </w:rPr>
      </w:pPr>
      <w:r>
        <w:rPr>
          <w:rFonts w:hint="eastAsia" w:ascii="宋体" w:hAnsi="宋体" w:eastAsia="宋体" w:cs="宋体"/>
          <w:sz w:val="24"/>
          <w:szCs w:val="24"/>
        </w:rPr>
        <w:t>蚊密度控制：参照GB-T 27771-2011中5.1.2项，采用勺捕法，采样勺指数小于或等于1%，平均每阳性勺少于</w:t>
      </w:r>
      <w:r>
        <w:rPr>
          <w:rFonts w:hint="eastAsia" w:ascii="宋体" w:hAnsi="宋体" w:eastAsia="宋体" w:cs="宋体"/>
          <w:sz w:val="24"/>
          <w:szCs w:val="24"/>
          <w:lang w:val="en-US" w:eastAsia="zh-CN"/>
        </w:rPr>
        <w:t>3只</w:t>
      </w:r>
      <w:r>
        <w:rPr>
          <w:rFonts w:hint="eastAsia" w:ascii="宋体" w:hAnsi="宋体" w:eastAsia="宋体" w:cs="宋体"/>
          <w:sz w:val="24"/>
          <w:szCs w:val="24"/>
        </w:rPr>
        <w:t>蚊虫幼虫和蛹</w:t>
      </w:r>
      <w:r>
        <w:rPr>
          <w:rFonts w:hint="eastAsia" w:ascii="宋体" w:hAnsi="宋体" w:eastAsia="宋体" w:cs="宋体"/>
          <w:sz w:val="24"/>
          <w:szCs w:val="24"/>
          <w:lang w:eastAsia="zh-CN"/>
        </w:rPr>
        <w:t>。</w:t>
      </w:r>
    </w:p>
    <w:p>
      <w:pPr>
        <w:snapToGrid w:val="0"/>
        <w:spacing w:line="480" w:lineRule="exact"/>
        <w:ind w:firstLine="600" w:firstLineChars="250"/>
        <w:outlineLvl w:val="1"/>
        <w:rPr>
          <w:rFonts w:hint="eastAsia" w:ascii="宋体" w:hAnsi="宋体" w:eastAsia="宋体" w:cs="宋体"/>
          <w:sz w:val="24"/>
          <w:szCs w:val="24"/>
          <w:lang w:eastAsia="zh-CN"/>
        </w:rPr>
      </w:pPr>
      <w:r>
        <w:rPr>
          <w:rFonts w:hint="eastAsia" w:ascii="宋体" w:hAnsi="宋体" w:eastAsia="宋体" w:cs="宋体"/>
          <w:sz w:val="24"/>
          <w:szCs w:val="24"/>
        </w:rPr>
        <w:t>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蛾蜢</w:t>
      </w:r>
      <w:r>
        <w:rPr>
          <w:rFonts w:hint="eastAsia" w:ascii="宋体" w:hAnsi="宋体" w:eastAsia="宋体" w:cs="宋体"/>
          <w:sz w:val="24"/>
          <w:szCs w:val="24"/>
        </w:rPr>
        <w:t>密度控制：参照GB-T 27772-2011中5.1.2项，采用目测法，有蝇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蛾蜢</w:t>
      </w:r>
      <w:r>
        <w:rPr>
          <w:rFonts w:hint="eastAsia" w:ascii="宋体" w:hAnsi="宋体" w:eastAsia="宋体" w:cs="宋体"/>
          <w:sz w:val="24"/>
          <w:szCs w:val="24"/>
        </w:rPr>
        <w:t>房间阳性率小于或等于3%，阳性间蝇密度小于或等于3只/间</w:t>
      </w:r>
      <w:r>
        <w:rPr>
          <w:rFonts w:hint="eastAsia" w:ascii="宋体" w:hAnsi="宋体" w:eastAsia="宋体" w:cs="宋体"/>
          <w:sz w:val="24"/>
          <w:szCs w:val="24"/>
          <w:lang w:eastAsia="zh-CN"/>
        </w:rPr>
        <w:t>。</w:t>
      </w:r>
    </w:p>
    <w:p>
      <w:pPr>
        <w:snapToGrid w:val="0"/>
        <w:spacing w:line="480" w:lineRule="exact"/>
        <w:ind w:firstLine="600" w:firstLineChars="250"/>
        <w:outlineLvl w:val="1"/>
        <w:rPr>
          <w:rFonts w:hint="eastAsia" w:ascii="宋体" w:hAnsi="宋体" w:eastAsia="宋体" w:cs="宋体"/>
          <w:sz w:val="24"/>
          <w:szCs w:val="24"/>
        </w:rPr>
      </w:pPr>
      <w:r>
        <w:rPr>
          <w:rFonts w:hint="eastAsia" w:ascii="宋体" w:hAnsi="宋体" w:eastAsia="宋体" w:cs="宋体"/>
          <w:sz w:val="24"/>
          <w:szCs w:val="24"/>
        </w:rPr>
        <w:t>蜚蠊密度控制：参照GB-T 27773-2011中5.1.2项，采用查询法，蜚蠊卵鞘查获率小于或等于1%，平均每阳性间（处）卵鞘数小于或等于2只。</w:t>
      </w:r>
    </w:p>
    <w:p>
      <w:pPr>
        <w:spacing w:line="360" w:lineRule="auto"/>
        <w:rPr>
          <w:rFonts w:hint="eastAsia" w:ascii="宋体" w:hAnsi="宋体"/>
          <w:b/>
          <w:sz w:val="24"/>
          <w:szCs w:val="24"/>
          <w:highlight w:val="none"/>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项目服务周期：</w:t>
      </w:r>
      <w:r>
        <w:rPr>
          <w:rFonts w:hint="eastAsia" w:ascii="宋体" w:hAnsi="宋体"/>
          <w:b/>
          <w:sz w:val="24"/>
          <w:szCs w:val="24"/>
          <w:highlight w:val="none"/>
          <w:u w:val="single"/>
          <w:lang w:val="en-US" w:eastAsia="zh-CN"/>
        </w:rPr>
        <w:t>1年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napToGrid w:val="0"/>
        <w:spacing w:line="360" w:lineRule="auto"/>
        <w:ind w:firstLine="480" w:firstLineChars="200"/>
        <w:rPr>
          <w:rFonts w:hint="eastAsia" w:ascii="宋体" w:hAnsi="宋体" w:cs="宋体"/>
          <w:color w:val="000000"/>
          <w:kern w:val="0"/>
          <w:sz w:val="24"/>
          <w:szCs w:val="22"/>
          <w:lang w:val="en-US" w:eastAsia="zh-CN"/>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评标方式：</w:t>
      </w:r>
      <w:r>
        <w:rPr>
          <w:rFonts w:hint="eastAsia" w:ascii="宋体" w:hAnsi="宋体" w:cs="宋体"/>
          <w:color w:val="000000"/>
          <w:kern w:val="0"/>
          <w:sz w:val="24"/>
          <w:szCs w:val="22"/>
        </w:rPr>
        <w:t>采用</w:t>
      </w:r>
      <w:r>
        <w:rPr>
          <w:rFonts w:hint="eastAsia" w:ascii="宋体" w:hAnsi="宋体" w:cs="宋体"/>
          <w:color w:val="000000"/>
          <w:kern w:val="0"/>
          <w:sz w:val="24"/>
          <w:szCs w:val="22"/>
          <w:lang w:val="en-US" w:eastAsia="zh-CN"/>
        </w:rPr>
        <w:t>综合评分</w:t>
      </w:r>
      <w:r>
        <w:rPr>
          <w:rFonts w:hint="eastAsia" w:ascii="宋体" w:hAnsi="宋体" w:cs="宋体"/>
          <w:color w:val="000000"/>
          <w:kern w:val="0"/>
          <w:sz w:val="24"/>
          <w:szCs w:val="22"/>
        </w:rPr>
        <w:t>法，即满足招标文件要求且</w:t>
      </w:r>
      <w:r>
        <w:rPr>
          <w:rFonts w:hint="eastAsia" w:ascii="宋体" w:hAnsi="宋体" w:cs="宋体"/>
          <w:b/>
          <w:bCs/>
          <w:color w:val="000000"/>
          <w:kern w:val="0"/>
          <w:sz w:val="24"/>
          <w:szCs w:val="22"/>
          <w:lang w:val="en-US" w:eastAsia="zh-CN"/>
        </w:rPr>
        <w:t>综合得分</w:t>
      </w:r>
      <w:r>
        <w:rPr>
          <w:rFonts w:hint="eastAsia" w:ascii="宋体" w:hAnsi="宋体" w:cs="宋体"/>
          <w:color w:val="000000"/>
          <w:kern w:val="0"/>
          <w:sz w:val="24"/>
          <w:szCs w:val="22"/>
        </w:rPr>
        <w:t>最</w:t>
      </w:r>
      <w:r>
        <w:rPr>
          <w:rFonts w:hint="eastAsia" w:ascii="宋体" w:hAnsi="宋体" w:cs="宋体"/>
          <w:color w:val="000000"/>
          <w:kern w:val="0"/>
          <w:sz w:val="24"/>
          <w:szCs w:val="22"/>
          <w:lang w:val="en-US" w:eastAsia="zh-CN"/>
        </w:rPr>
        <w:t>高</w:t>
      </w:r>
      <w:r>
        <w:rPr>
          <w:rFonts w:hint="eastAsia" w:ascii="宋体" w:hAnsi="宋体" w:cs="宋体"/>
          <w:color w:val="000000"/>
          <w:kern w:val="0"/>
          <w:sz w:val="24"/>
          <w:szCs w:val="22"/>
        </w:rPr>
        <w:t>的供应商为第一中标候选人</w:t>
      </w:r>
      <w:r>
        <w:rPr>
          <w:rFonts w:hint="eastAsia" w:ascii="宋体" w:hAnsi="宋体" w:cs="宋体"/>
          <w:color w:val="000000"/>
          <w:kern w:val="0"/>
          <w:sz w:val="24"/>
          <w:szCs w:val="22"/>
          <w:lang w:eastAsia="zh-CN"/>
        </w:rPr>
        <w:t>，</w:t>
      </w:r>
      <w:r>
        <w:rPr>
          <w:rFonts w:hint="eastAsia" w:ascii="宋体" w:hAnsi="宋体" w:cs="宋体"/>
          <w:b/>
          <w:bCs/>
          <w:color w:val="000000"/>
          <w:kern w:val="0"/>
          <w:sz w:val="24"/>
          <w:szCs w:val="22"/>
          <w:lang w:val="en-US" w:eastAsia="zh-CN"/>
        </w:rPr>
        <w:t>综合得分=技术分+商务分；</w:t>
      </w:r>
      <w:r>
        <w:rPr>
          <w:rFonts w:hint="eastAsia" w:ascii="宋体" w:hAnsi="宋体" w:cs="宋体"/>
          <w:color w:val="000000"/>
          <w:kern w:val="0"/>
          <w:sz w:val="24"/>
          <w:szCs w:val="22"/>
          <w:lang w:val="en-US" w:eastAsia="zh-CN"/>
        </w:rPr>
        <w:t>具体评分细则如下：</w:t>
      </w:r>
    </w:p>
    <w:p>
      <w:pPr>
        <w:snapToGrid w:val="0"/>
        <w:spacing w:line="360" w:lineRule="auto"/>
        <w:ind w:firstLine="480" w:firstLineChars="200"/>
        <w:rPr>
          <w:rFonts w:hint="eastAsia" w:ascii="宋体" w:hAnsi="宋体" w:eastAsia="宋体"/>
          <w:sz w:val="22"/>
          <w:szCs w:val="22"/>
          <w:highlight w:val="none"/>
        </w:rPr>
      </w:pPr>
      <w:r>
        <w:rPr>
          <w:rFonts w:hint="eastAsia" w:ascii="宋体" w:hAnsi="宋体" w:cs="宋体"/>
          <w:color w:val="000000"/>
          <w:kern w:val="0"/>
          <w:sz w:val="24"/>
          <w:szCs w:val="22"/>
          <w:lang w:val="en-US" w:eastAsia="zh-CN"/>
        </w:rPr>
        <w:t>（1）</w:t>
      </w:r>
      <w:r>
        <w:rPr>
          <w:rFonts w:hint="eastAsia" w:ascii="宋体" w:hAnsi="宋体" w:eastAsia="宋体"/>
          <w:sz w:val="22"/>
          <w:szCs w:val="22"/>
          <w:highlight w:val="none"/>
        </w:rPr>
        <w:t>确定有效报价：投标报价低于招标控制价的为</w:t>
      </w:r>
      <w:r>
        <w:rPr>
          <w:rFonts w:hint="eastAsia" w:ascii="宋体" w:hAnsi="宋体" w:eastAsia="宋体"/>
          <w:b/>
          <w:bCs/>
          <w:sz w:val="22"/>
          <w:szCs w:val="22"/>
          <w:highlight w:val="none"/>
        </w:rPr>
        <w:t>有效报价</w:t>
      </w:r>
      <w:r>
        <w:rPr>
          <w:rFonts w:hint="eastAsia" w:ascii="宋体" w:hAnsi="宋体" w:eastAsia="宋体"/>
          <w:sz w:val="22"/>
          <w:szCs w:val="22"/>
          <w:highlight w:val="none"/>
        </w:rPr>
        <w:t>，高于或等于招标控制价的为</w:t>
      </w:r>
      <w:r>
        <w:rPr>
          <w:rFonts w:hint="eastAsia" w:ascii="宋体" w:hAnsi="宋体" w:eastAsia="宋体"/>
          <w:b/>
          <w:bCs/>
          <w:sz w:val="22"/>
          <w:szCs w:val="22"/>
          <w:highlight w:val="none"/>
        </w:rPr>
        <w:t>无效报价</w:t>
      </w:r>
      <w:r>
        <w:rPr>
          <w:rFonts w:hint="eastAsia" w:ascii="宋体" w:hAnsi="宋体" w:eastAsia="宋体"/>
          <w:sz w:val="22"/>
          <w:szCs w:val="22"/>
          <w:highlight w:val="none"/>
        </w:rPr>
        <w:t>,本项目招标控制价为：</w:t>
      </w:r>
      <w:r>
        <w:rPr>
          <w:rFonts w:hint="eastAsia" w:ascii="宋体" w:hAnsi="宋体" w:eastAsia="宋体"/>
          <w:b/>
          <w:bCs/>
          <w:sz w:val="22"/>
          <w:szCs w:val="22"/>
          <w:highlight w:val="none"/>
          <w:u w:val="single"/>
        </w:rPr>
        <w:t>￥</w:t>
      </w:r>
      <w:r>
        <w:rPr>
          <w:rFonts w:hint="eastAsia" w:ascii="宋体" w:hAnsi="宋体" w:eastAsia="宋体"/>
          <w:b/>
          <w:bCs/>
          <w:sz w:val="22"/>
          <w:szCs w:val="22"/>
          <w:highlight w:val="none"/>
          <w:u w:val="single"/>
          <w:lang w:val="en-US" w:eastAsia="zh-CN"/>
        </w:rPr>
        <w:t xml:space="preserve"> 9</w:t>
      </w:r>
      <w:r>
        <w:rPr>
          <w:rFonts w:hint="eastAsia" w:ascii="宋体" w:hAnsi="宋体" w:eastAsia="宋体"/>
          <w:b/>
          <w:bCs/>
          <w:sz w:val="22"/>
          <w:szCs w:val="22"/>
          <w:highlight w:val="none"/>
          <w:u w:val="single"/>
        </w:rPr>
        <w:t>万元</w:t>
      </w:r>
      <w:r>
        <w:rPr>
          <w:rFonts w:hint="eastAsia" w:ascii="宋体" w:hAnsi="宋体" w:eastAsia="宋体"/>
          <w:sz w:val="22"/>
          <w:szCs w:val="22"/>
          <w:highlight w:val="none"/>
        </w:rPr>
        <w:t>。</w:t>
      </w:r>
    </w:p>
    <w:p>
      <w:pPr>
        <w:pStyle w:val="6"/>
        <w:rPr>
          <w:rFonts w:hint="default" w:ascii="宋体" w:hAnsi="宋体" w:eastAsia="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评分规则：</w:t>
      </w:r>
    </w:p>
    <w:tbl>
      <w:tblPr>
        <w:tblStyle w:val="10"/>
        <w:tblpPr w:leftFromText="180" w:rightFromText="180" w:vertAnchor="text" w:horzAnchor="page" w:tblpX="1787" w:tblpY="762"/>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036"/>
        <w:gridCol w:w="514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567" w:type="dxa"/>
            <w:noWrap w:val="0"/>
            <w:vAlign w:val="center"/>
          </w:tcPr>
          <w:p>
            <w:pPr>
              <w:spacing w:line="320" w:lineRule="exact"/>
              <w:jc w:val="center"/>
              <w:rPr>
                <w:rFonts w:hint="eastAsia" w:ascii="宋体" w:hAnsi="宋体" w:cs="宋体"/>
                <w:sz w:val="24"/>
              </w:rPr>
            </w:pPr>
            <w:r>
              <w:rPr>
                <w:rFonts w:hint="eastAsia" w:ascii="宋体" w:hAnsi="宋体" w:cs="宋体"/>
                <w:sz w:val="24"/>
              </w:rPr>
              <w:t>项目</w:t>
            </w:r>
          </w:p>
        </w:tc>
        <w:tc>
          <w:tcPr>
            <w:tcW w:w="1036" w:type="dxa"/>
            <w:noWrap w:val="0"/>
            <w:vAlign w:val="center"/>
          </w:tcPr>
          <w:p>
            <w:pPr>
              <w:spacing w:line="320" w:lineRule="exact"/>
              <w:jc w:val="center"/>
              <w:rPr>
                <w:rFonts w:hint="eastAsia" w:ascii="宋体" w:hAnsi="宋体" w:cs="宋体"/>
                <w:sz w:val="24"/>
              </w:rPr>
            </w:pPr>
            <w:r>
              <w:rPr>
                <w:rFonts w:hint="eastAsia" w:ascii="宋体" w:hAnsi="宋体" w:cs="宋体"/>
                <w:sz w:val="24"/>
              </w:rPr>
              <w:t>项目总分</w:t>
            </w:r>
          </w:p>
        </w:tc>
        <w:tc>
          <w:tcPr>
            <w:tcW w:w="5145" w:type="dxa"/>
            <w:noWrap w:val="0"/>
            <w:vAlign w:val="center"/>
          </w:tcPr>
          <w:p>
            <w:pPr>
              <w:spacing w:line="320" w:lineRule="exact"/>
              <w:jc w:val="center"/>
              <w:rPr>
                <w:rFonts w:hint="eastAsia" w:ascii="宋体" w:hAnsi="宋体" w:cs="宋体"/>
                <w:sz w:val="24"/>
              </w:rPr>
            </w:pPr>
            <w:r>
              <w:rPr>
                <w:rFonts w:hint="eastAsia" w:ascii="宋体" w:hAnsi="宋体" w:cs="宋体"/>
                <w:sz w:val="24"/>
              </w:rPr>
              <w:t>评分标准</w:t>
            </w:r>
          </w:p>
        </w:tc>
        <w:tc>
          <w:tcPr>
            <w:tcW w:w="1106" w:type="dxa"/>
            <w:noWrap w:val="0"/>
            <w:vAlign w:val="center"/>
          </w:tcPr>
          <w:p>
            <w:pPr>
              <w:spacing w:line="320" w:lineRule="exact"/>
              <w:rPr>
                <w:rFonts w:hint="eastAsia" w:ascii="宋体" w:hAnsi="宋体" w:cs="宋体" w:eastAsiaTheme="minorEastAsia"/>
                <w:sz w:val="24"/>
                <w:lang w:val="en-US" w:eastAsia="zh-CN"/>
              </w:rPr>
            </w:pPr>
            <w:r>
              <w:rPr>
                <w:rFonts w:hint="eastAsia" w:ascii="宋体" w:hAnsi="宋体" w:cs="宋体"/>
                <w:sz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7" w:type="dxa"/>
            <w:vMerge w:val="restart"/>
            <w:noWrap w:val="0"/>
            <w:vAlign w:val="center"/>
          </w:tcPr>
          <w:p>
            <w:pPr>
              <w:tabs>
                <w:tab w:val="left" w:pos="567"/>
              </w:tabs>
              <w:adjustRightInd w:val="0"/>
              <w:snapToGrid w:val="0"/>
              <w:spacing w:line="360" w:lineRule="auto"/>
              <w:jc w:val="left"/>
              <w:rPr>
                <w:rFonts w:hint="eastAsia" w:ascii="宋体" w:hAnsi="宋体" w:cs="宋体"/>
                <w:sz w:val="24"/>
                <w:lang w:val="en-US" w:eastAsia="zh-CN"/>
              </w:rPr>
            </w:pPr>
            <w:r>
              <w:rPr>
                <w:rFonts w:hint="eastAsia" w:ascii="宋体" w:hAnsi="宋体" w:cs="宋体"/>
                <w:sz w:val="24"/>
              </w:rPr>
              <w:t>技术</w:t>
            </w:r>
            <w:r>
              <w:rPr>
                <w:rFonts w:hint="eastAsia" w:ascii="宋体" w:hAnsi="宋体" w:cs="宋体"/>
                <w:sz w:val="24"/>
                <w:lang w:val="en-US" w:eastAsia="zh-CN"/>
              </w:rPr>
              <w:t>分</w:t>
            </w:r>
            <w:r>
              <w:rPr>
                <w:rFonts w:hint="eastAsia" w:ascii="宋体" w:hAnsi="宋体" w:cs="宋体"/>
                <w:sz w:val="24"/>
              </w:rPr>
              <w:t>（</w:t>
            </w:r>
            <w:r>
              <w:rPr>
                <w:rFonts w:hint="eastAsia" w:ascii="宋体" w:hAnsi="宋体" w:cs="宋体"/>
                <w:sz w:val="24"/>
                <w:lang w:val="en-US" w:eastAsia="zh-CN"/>
              </w:rPr>
              <w:t>业绩、企业综合</w:t>
            </w:r>
          </w:p>
          <w:p>
            <w:pPr>
              <w:tabs>
                <w:tab w:val="left" w:pos="567"/>
              </w:tabs>
              <w:adjustRightInd w:val="0"/>
              <w:snapToGrid w:val="0"/>
              <w:spacing w:line="360" w:lineRule="auto"/>
              <w:jc w:val="left"/>
              <w:rPr>
                <w:rFonts w:hint="eastAsia" w:ascii="宋体" w:hAnsi="宋体" w:cs="宋体"/>
                <w:sz w:val="24"/>
              </w:rPr>
            </w:pPr>
            <w:r>
              <w:rPr>
                <w:rFonts w:hint="eastAsia" w:ascii="宋体" w:hAnsi="宋体" w:cs="宋体"/>
                <w:sz w:val="24"/>
                <w:lang w:val="en-US" w:eastAsia="zh-CN"/>
              </w:rPr>
              <w:t>实力、消杀方案</w:t>
            </w:r>
            <w:r>
              <w:rPr>
                <w:rFonts w:hint="eastAsia" w:ascii="宋体" w:hAnsi="宋体" w:cs="宋体"/>
                <w:sz w:val="24"/>
              </w:rPr>
              <w:t>）      （</w:t>
            </w:r>
            <w:r>
              <w:rPr>
                <w:rFonts w:hint="eastAsia" w:ascii="宋体" w:hAnsi="宋体" w:cs="宋体"/>
                <w:sz w:val="24"/>
                <w:lang w:val="en-US" w:eastAsia="zh-CN"/>
              </w:rPr>
              <w:t>3</w:t>
            </w:r>
            <w:r>
              <w:rPr>
                <w:rFonts w:hint="eastAsia" w:ascii="宋体" w:hAnsi="宋体" w:cs="宋体"/>
                <w:sz w:val="24"/>
              </w:rPr>
              <w:t>0分）</w:t>
            </w:r>
          </w:p>
        </w:tc>
        <w:tc>
          <w:tcPr>
            <w:tcW w:w="1036" w:type="dxa"/>
            <w:noWrap w:val="0"/>
            <w:vAlign w:val="center"/>
          </w:tcPr>
          <w:p>
            <w:pPr>
              <w:spacing w:line="320" w:lineRule="exact"/>
              <w:jc w:val="center"/>
              <w:rPr>
                <w:rFonts w:hint="eastAsia" w:ascii="宋体" w:hAnsi="宋体" w:eastAsia="宋体" w:cs="宋体"/>
                <w:sz w:val="24"/>
                <w:lang w:eastAsia="zh-CN"/>
              </w:rPr>
            </w:pPr>
            <w:r>
              <w:rPr>
                <w:rFonts w:hint="eastAsia" w:ascii="宋体" w:hAnsi="宋体" w:cs="宋体"/>
                <w:sz w:val="24"/>
                <w:lang w:val="en-US" w:eastAsia="zh-CN"/>
              </w:rPr>
              <w:t>10</w:t>
            </w:r>
          </w:p>
        </w:tc>
        <w:tc>
          <w:tcPr>
            <w:tcW w:w="5145" w:type="dxa"/>
            <w:noWrap w:val="0"/>
            <w:vAlign w:val="center"/>
          </w:tcPr>
          <w:p>
            <w:pPr>
              <w:spacing w:line="320" w:lineRule="exact"/>
              <w:rPr>
                <w:rFonts w:hint="default" w:ascii="宋体" w:hAnsi="宋体" w:eastAsia="宋体"/>
                <w:sz w:val="22"/>
                <w:szCs w:val="21"/>
                <w:lang w:val="en-US" w:eastAsia="zh-CN"/>
              </w:rPr>
            </w:pPr>
            <w:r>
              <w:rPr>
                <w:rFonts w:hint="eastAsia" w:ascii="宋体" w:hAnsi="宋体"/>
                <w:sz w:val="22"/>
                <w:szCs w:val="21"/>
              </w:rPr>
              <w:t>投标人202</w:t>
            </w:r>
            <w:r>
              <w:rPr>
                <w:rFonts w:hint="eastAsia" w:ascii="宋体" w:hAnsi="宋体"/>
                <w:sz w:val="22"/>
                <w:szCs w:val="21"/>
                <w:lang w:val="en-US" w:eastAsia="zh-CN"/>
              </w:rPr>
              <w:t>1</w:t>
            </w:r>
            <w:r>
              <w:rPr>
                <w:rFonts w:hint="eastAsia" w:ascii="宋体" w:hAnsi="宋体"/>
                <w:sz w:val="22"/>
                <w:szCs w:val="21"/>
              </w:rPr>
              <w:t>年</w:t>
            </w:r>
            <w:r>
              <w:rPr>
                <w:rFonts w:hint="eastAsia" w:ascii="宋体" w:hAnsi="宋体"/>
                <w:sz w:val="22"/>
                <w:szCs w:val="21"/>
                <w:lang w:val="en-US" w:eastAsia="zh-CN"/>
              </w:rPr>
              <w:t>1月1日</w:t>
            </w:r>
            <w:r>
              <w:rPr>
                <w:rFonts w:hint="eastAsia" w:ascii="宋体" w:hAnsi="宋体"/>
                <w:sz w:val="22"/>
                <w:szCs w:val="21"/>
              </w:rPr>
              <w:t>（含）后签订并履行12个月（含）以上的</w:t>
            </w:r>
            <w:r>
              <w:rPr>
                <w:rFonts w:hint="eastAsia" w:ascii="宋体" w:hAnsi="宋体"/>
                <w:sz w:val="22"/>
                <w:szCs w:val="21"/>
                <w:lang w:eastAsia="zh-CN"/>
              </w:rPr>
              <w:t>，</w:t>
            </w:r>
            <w:r>
              <w:rPr>
                <w:rFonts w:hint="eastAsia" w:ascii="宋体" w:hAnsi="宋体"/>
                <w:sz w:val="22"/>
                <w:szCs w:val="21"/>
                <w:lang w:val="en-US" w:eastAsia="zh-CN"/>
              </w:rPr>
              <w:t>与</w:t>
            </w:r>
            <w:r>
              <w:rPr>
                <w:rFonts w:hint="eastAsia" w:ascii="宋体" w:hAnsi="宋体"/>
                <w:sz w:val="22"/>
                <w:szCs w:val="21"/>
              </w:rPr>
              <w:t>国际品牌酒店集团</w:t>
            </w:r>
            <w:r>
              <w:rPr>
                <w:rFonts w:hint="eastAsia" w:ascii="宋体" w:hAnsi="宋体"/>
                <w:sz w:val="22"/>
                <w:szCs w:val="21"/>
                <w:lang w:val="en-US" w:eastAsia="zh-CN"/>
              </w:rPr>
              <w:t>有</w:t>
            </w:r>
            <w:r>
              <w:rPr>
                <w:rFonts w:hint="eastAsia" w:ascii="宋体" w:hAnsi="宋体"/>
                <w:sz w:val="22"/>
                <w:szCs w:val="21"/>
              </w:rPr>
              <w:t>合作经验，如洲际、万豪、希尔顿、香格里拉</w:t>
            </w:r>
            <w:r>
              <w:rPr>
                <w:rFonts w:hint="eastAsia" w:ascii="宋体" w:hAnsi="宋体"/>
                <w:sz w:val="22"/>
                <w:szCs w:val="21"/>
                <w:lang w:eastAsia="zh-CN"/>
              </w:rPr>
              <w:t>、</w:t>
            </w:r>
            <w:r>
              <w:rPr>
                <w:rFonts w:hint="eastAsia" w:ascii="宋体" w:hAnsi="宋体"/>
                <w:sz w:val="22"/>
                <w:szCs w:val="21"/>
                <w:lang w:val="en-US" w:eastAsia="zh-CN"/>
              </w:rPr>
              <w:t>雅高等集团</w:t>
            </w:r>
            <w:r>
              <w:rPr>
                <w:rFonts w:hint="eastAsia" w:ascii="宋体" w:hAnsi="宋体"/>
                <w:sz w:val="22"/>
                <w:szCs w:val="21"/>
              </w:rPr>
              <w:t>虫控消杀</w:t>
            </w:r>
            <w:r>
              <w:rPr>
                <w:rFonts w:hint="eastAsia" w:ascii="宋体" w:hAnsi="宋体"/>
                <w:sz w:val="22"/>
                <w:szCs w:val="21"/>
                <w:lang w:val="en-US" w:eastAsia="zh-CN"/>
              </w:rPr>
              <w:t>业</w:t>
            </w:r>
            <w:r>
              <w:rPr>
                <w:rFonts w:hint="eastAsia" w:ascii="宋体" w:hAnsi="宋体"/>
                <w:sz w:val="22"/>
                <w:szCs w:val="21"/>
              </w:rPr>
              <w:t>绩，</w:t>
            </w:r>
            <w:r>
              <w:rPr>
                <w:rFonts w:hint="eastAsia" w:ascii="宋体" w:hAnsi="宋体"/>
                <w:sz w:val="22"/>
                <w:szCs w:val="21"/>
                <w:lang w:val="en-US" w:eastAsia="zh-CN"/>
              </w:rPr>
              <w:t>且</w:t>
            </w:r>
            <w:r>
              <w:rPr>
                <w:rFonts w:hint="eastAsia" w:ascii="宋体" w:hAnsi="宋体"/>
                <w:sz w:val="22"/>
                <w:szCs w:val="21"/>
              </w:rPr>
              <w:t>单项年合同金额在人民币5万元（含）以上，每个得</w:t>
            </w:r>
            <w:r>
              <w:rPr>
                <w:rFonts w:hint="eastAsia" w:ascii="宋体" w:hAnsi="宋体"/>
                <w:sz w:val="22"/>
                <w:szCs w:val="21"/>
                <w:lang w:val="en-US" w:eastAsia="zh-CN"/>
              </w:rPr>
              <w:t>2</w:t>
            </w:r>
            <w:r>
              <w:rPr>
                <w:rFonts w:hint="eastAsia" w:ascii="宋体" w:hAnsi="宋体"/>
                <w:sz w:val="22"/>
                <w:szCs w:val="21"/>
              </w:rPr>
              <w:t>分</w:t>
            </w:r>
            <w:r>
              <w:rPr>
                <w:rFonts w:hint="eastAsia" w:ascii="宋体" w:hAnsi="宋体"/>
                <w:sz w:val="22"/>
                <w:szCs w:val="21"/>
                <w:lang w:eastAsia="zh-CN"/>
              </w:rPr>
              <w:t>，</w:t>
            </w:r>
            <w:r>
              <w:rPr>
                <w:rFonts w:hint="eastAsia" w:ascii="宋体" w:hAnsi="宋体"/>
                <w:sz w:val="22"/>
                <w:szCs w:val="21"/>
                <w:lang w:val="en-US" w:eastAsia="zh-CN"/>
              </w:rPr>
              <w:t>最高10分。</w:t>
            </w:r>
          </w:p>
        </w:tc>
        <w:tc>
          <w:tcPr>
            <w:tcW w:w="1106" w:type="dxa"/>
            <w:noWrap w:val="0"/>
            <w:vAlign w:val="center"/>
          </w:tcPr>
          <w:p>
            <w:pPr>
              <w:spacing w:line="32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1567" w:type="dxa"/>
            <w:vMerge w:val="continue"/>
            <w:noWrap w:val="0"/>
            <w:vAlign w:val="center"/>
          </w:tcPr>
          <w:p>
            <w:pPr>
              <w:tabs>
                <w:tab w:val="left" w:pos="567"/>
              </w:tabs>
              <w:adjustRightInd w:val="0"/>
              <w:snapToGrid w:val="0"/>
              <w:spacing w:line="360" w:lineRule="auto"/>
              <w:jc w:val="left"/>
              <w:rPr>
                <w:rFonts w:hint="eastAsia" w:ascii="宋体" w:hAnsi="宋体" w:cs="宋体"/>
                <w:sz w:val="24"/>
                <w:lang w:val="en-US" w:eastAsia="zh-CN"/>
              </w:rPr>
            </w:pPr>
          </w:p>
        </w:tc>
        <w:tc>
          <w:tcPr>
            <w:tcW w:w="1036" w:type="dxa"/>
            <w:noWrap w:val="0"/>
            <w:vAlign w:val="center"/>
          </w:tcPr>
          <w:p>
            <w:pPr>
              <w:spacing w:line="32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5145" w:type="dxa"/>
            <w:noWrap w:val="0"/>
            <w:vAlign w:val="center"/>
          </w:tcPr>
          <w:p>
            <w:pPr>
              <w:spacing w:line="320" w:lineRule="exact"/>
              <w:rPr>
                <w:rFonts w:hint="eastAsia" w:ascii="宋体" w:hAnsi="宋体"/>
                <w:sz w:val="24"/>
                <w:szCs w:val="22"/>
              </w:rPr>
            </w:pPr>
            <w:r>
              <w:rPr>
                <w:rFonts w:hint="eastAsia" w:ascii="宋体" w:hAnsi="宋体"/>
                <w:sz w:val="24"/>
                <w:szCs w:val="22"/>
              </w:rPr>
              <w:t>虫控消杀技术方案的完整性（</w:t>
            </w:r>
            <w:r>
              <w:rPr>
                <w:rFonts w:hint="eastAsia" w:ascii="宋体" w:hAnsi="宋体"/>
                <w:sz w:val="24"/>
                <w:szCs w:val="22"/>
                <w:lang w:val="en-US" w:eastAsia="zh-CN"/>
              </w:rPr>
              <w:t>0</w:t>
            </w:r>
            <w:r>
              <w:rPr>
                <w:rFonts w:hint="eastAsia" w:ascii="宋体" w:hAnsi="宋体"/>
                <w:sz w:val="24"/>
                <w:szCs w:val="22"/>
              </w:rPr>
              <w:t>-</w:t>
            </w:r>
            <w:r>
              <w:rPr>
                <w:rFonts w:hint="eastAsia" w:ascii="宋体" w:hAnsi="宋体"/>
                <w:sz w:val="24"/>
                <w:szCs w:val="22"/>
                <w:lang w:val="en-US" w:eastAsia="zh-CN"/>
              </w:rPr>
              <w:t>10</w:t>
            </w:r>
            <w:r>
              <w:rPr>
                <w:rFonts w:hint="eastAsia" w:ascii="宋体" w:hAnsi="宋体"/>
                <w:sz w:val="24"/>
                <w:szCs w:val="22"/>
              </w:rPr>
              <w:t>分）。</w:t>
            </w:r>
          </w:p>
          <w:p>
            <w:pPr>
              <w:spacing w:line="320" w:lineRule="exact"/>
              <w:rPr>
                <w:rFonts w:hint="eastAsia" w:ascii="宋体" w:hAnsi="宋体" w:eastAsia="宋体"/>
                <w:sz w:val="24"/>
                <w:szCs w:val="22"/>
                <w:lang w:eastAsia="zh-CN"/>
              </w:rPr>
            </w:pPr>
            <w:r>
              <w:rPr>
                <w:rFonts w:hint="eastAsia" w:ascii="宋体" w:hAnsi="宋体"/>
                <w:sz w:val="24"/>
                <w:szCs w:val="22"/>
              </w:rPr>
              <w:t>详细的消杀方案、应急方案、安全和环境保护方案等。</w:t>
            </w:r>
            <w:r>
              <w:rPr>
                <w:rFonts w:hint="eastAsia" w:ascii="宋体" w:hAnsi="宋体"/>
                <w:sz w:val="24"/>
                <w:szCs w:val="22"/>
                <w:lang w:eastAsia="zh-CN"/>
              </w:rPr>
              <w:t>（</w:t>
            </w:r>
            <w:r>
              <w:rPr>
                <w:rFonts w:hint="eastAsia" w:ascii="宋体" w:hAnsi="宋体"/>
                <w:sz w:val="24"/>
                <w:szCs w:val="22"/>
                <w:lang w:val="en-US" w:eastAsia="zh-CN"/>
              </w:rPr>
              <w:t>本项目打分步长为1，小数点后无需打分</w:t>
            </w:r>
            <w:r>
              <w:rPr>
                <w:rFonts w:hint="eastAsia" w:ascii="宋体" w:hAnsi="宋体"/>
                <w:sz w:val="24"/>
                <w:szCs w:val="22"/>
                <w:lang w:eastAsia="zh-CN"/>
              </w:rPr>
              <w:t>）</w:t>
            </w:r>
          </w:p>
          <w:p>
            <w:pPr>
              <w:spacing w:line="320" w:lineRule="exact"/>
              <w:rPr>
                <w:rFonts w:hint="eastAsia" w:ascii="宋体" w:hAnsi="宋体"/>
                <w:sz w:val="24"/>
                <w:szCs w:val="22"/>
              </w:rPr>
            </w:pPr>
            <w:r>
              <w:rPr>
                <w:rFonts w:hint="eastAsia" w:ascii="宋体" w:hAnsi="宋体" w:eastAsia="宋体" w:cs="宋体"/>
                <w:sz w:val="21"/>
                <w:szCs w:val="21"/>
              </w:rPr>
              <w:t>优：</w:t>
            </w:r>
            <w:r>
              <w:rPr>
                <w:rFonts w:hint="eastAsia" w:ascii="宋体" w:hAnsi="宋体" w:cs="宋体"/>
                <w:sz w:val="21"/>
                <w:szCs w:val="21"/>
                <w:lang w:val="en-US" w:eastAsia="zh-CN"/>
              </w:rPr>
              <w:t>7-10</w:t>
            </w:r>
            <w:r>
              <w:rPr>
                <w:rFonts w:hint="eastAsia" w:ascii="宋体" w:hAnsi="宋体" w:eastAsia="宋体" w:cs="宋体"/>
                <w:sz w:val="21"/>
                <w:szCs w:val="21"/>
              </w:rPr>
              <w:t>分，良：</w:t>
            </w:r>
            <w:r>
              <w:rPr>
                <w:rFonts w:hint="eastAsia" w:ascii="宋体" w:hAnsi="宋体" w:cs="宋体"/>
                <w:sz w:val="21"/>
                <w:szCs w:val="21"/>
                <w:lang w:val="en-US" w:eastAsia="zh-CN"/>
              </w:rPr>
              <w:t>4-6</w:t>
            </w:r>
            <w:r>
              <w:rPr>
                <w:rFonts w:hint="eastAsia" w:ascii="宋体" w:hAnsi="宋体" w:eastAsia="宋体" w:cs="宋体"/>
                <w:sz w:val="21"/>
                <w:szCs w:val="21"/>
              </w:rPr>
              <w:t>分，一般：</w:t>
            </w:r>
            <w:r>
              <w:rPr>
                <w:rFonts w:hint="eastAsia" w:ascii="宋体" w:hAnsi="宋体" w:cs="宋体"/>
                <w:sz w:val="21"/>
                <w:szCs w:val="21"/>
                <w:lang w:val="en-US" w:eastAsia="zh-CN"/>
              </w:rPr>
              <w:t>0-3</w:t>
            </w:r>
            <w:r>
              <w:rPr>
                <w:rFonts w:hint="eastAsia" w:ascii="宋体" w:hAnsi="宋体" w:eastAsia="宋体" w:cs="宋体"/>
                <w:sz w:val="21"/>
                <w:szCs w:val="21"/>
              </w:rPr>
              <w:t>分</w:t>
            </w:r>
          </w:p>
        </w:tc>
        <w:tc>
          <w:tcPr>
            <w:tcW w:w="1106" w:type="dxa"/>
            <w:noWrap w:val="0"/>
            <w:vAlign w:val="center"/>
          </w:tcPr>
          <w:p>
            <w:pPr>
              <w:spacing w:line="32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1567" w:type="dxa"/>
            <w:vMerge w:val="continue"/>
            <w:noWrap w:val="0"/>
            <w:vAlign w:val="center"/>
          </w:tcPr>
          <w:p>
            <w:pPr>
              <w:spacing w:line="320" w:lineRule="exact"/>
              <w:jc w:val="center"/>
              <w:rPr>
                <w:rFonts w:hint="eastAsia" w:ascii="宋体" w:hAnsi="宋体" w:cs="宋体"/>
                <w:sz w:val="24"/>
              </w:rPr>
            </w:pPr>
          </w:p>
        </w:tc>
        <w:tc>
          <w:tcPr>
            <w:tcW w:w="1036" w:type="dxa"/>
            <w:noWrap w:val="0"/>
            <w:vAlign w:val="center"/>
          </w:tcPr>
          <w:p>
            <w:pPr>
              <w:spacing w:line="320" w:lineRule="exact"/>
              <w:jc w:val="center"/>
              <w:rPr>
                <w:rFonts w:hint="default" w:ascii="宋体" w:hAnsi="宋体" w:cs="宋体"/>
                <w:sz w:val="24"/>
                <w:lang w:val="en-US" w:eastAsia="zh-CN"/>
              </w:rPr>
            </w:pPr>
            <w:r>
              <w:rPr>
                <w:rFonts w:hint="eastAsia" w:ascii="宋体" w:hAnsi="宋体" w:cs="宋体"/>
                <w:sz w:val="24"/>
                <w:lang w:val="en-US" w:eastAsia="zh-CN"/>
              </w:rPr>
              <w:t>10</w:t>
            </w:r>
          </w:p>
        </w:tc>
        <w:tc>
          <w:tcPr>
            <w:tcW w:w="5145" w:type="dxa"/>
            <w:noWrap w:val="0"/>
            <w:vAlign w:val="center"/>
          </w:tcPr>
          <w:p>
            <w:pPr>
              <w:spacing w:line="320" w:lineRule="exact"/>
              <w:rPr>
                <w:rFonts w:hint="eastAsia" w:ascii="宋体" w:hAnsi="宋体"/>
                <w:sz w:val="24"/>
                <w:lang w:val="en-US" w:eastAsia="zh-CN"/>
              </w:rPr>
            </w:pPr>
            <w:r>
              <w:rPr>
                <w:rFonts w:hint="eastAsia" w:ascii="宋体" w:hAnsi="宋体"/>
                <w:sz w:val="24"/>
              </w:rPr>
              <w:t>投标人具有环境管理体系认证、职业健康安全管理体系认证、质量管理体系认证的，每个得</w:t>
            </w:r>
            <w:r>
              <w:rPr>
                <w:rFonts w:hint="eastAsia" w:ascii="宋体" w:hAnsi="宋体"/>
                <w:sz w:val="24"/>
                <w:lang w:val="en-US" w:eastAsia="zh-CN"/>
              </w:rPr>
              <w:t>5</w:t>
            </w:r>
            <w:r>
              <w:rPr>
                <w:rFonts w:hint="eastAsia" w:ascii="宋体" w:hAnsi="宋体"/>
                <w:sz w:val="24"/>
              </w:rPr>
              <w:t>分，最高</w:t>
            </w:r>
            <w:r>
              <w:rPr>
                <w:rFonts w:hint="eastAsia" w:ascii="宋体" w:hAnsi="宋体"/>
                <w:sz w:val="24"/>
                <w:lang w:val="en-US" w:eastAsia="zh-CN"/>
              </w:rPr>
              <w:t>10</w:t>
            </w:r>
            <w:r>
              <w:rPr>
                <w:rFonts w:hint="eastAsia" w:ascii="宋体" w:hAnsi="宋体"/>
                <w:sz w:val="24"/>
              </w:rPr>
              <w:t>分。</w:t>
            </w:r>
          </w:p>
        </w:tc>
        <w:tc>
          <w:tcPr>
            <w:tcW w:w="1106" w:type="dxa"/>
            <w:noWrap w:val="0"/>
            <w:vAlign w:val="center"/>
          </w:tcPr>
          <w:p>
            <w:pPr>
              <w:spacing w:line="320" w:lineRule="exact"/>
              <w:jc w:val="center"/>
              <w:rPr>
                <w:rFonts w:hint="default" w:ascii="宋体" w:hAnsi="宋体" w:cs="宋体"/>
                <w:sz w:val="24"/>
                <w:lang w:val="en-US" w:eastAsia="zh-CN"/>
              </w:rPr>
            </w:pPr>
            <w:r>
              <w:rPr>
                <w:rFonts w:hint="eastAsia" w:ascii="宋体" w:hAnsi="宋体" w:cs="宋体"/>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1567" w:type="dxa"/>
            <w:noWrap w:val="0"/>
            <w:vAlign w:val="center"/>
          </w:tcPr>
          <w:p>
            <w:pPr>
              <w:spacing w:line="320" w:lineRule="exact"/>
              <w:jc w:val="center"/>
              <w:rPr>
                <w:rFonts w:hint="eastAsia" w:ascii="宋体" w:hAnsi="宋体" w:cs="宋体" w:eastAsiaTheme="minorEastAsia"/>
                <w:sz w:val="24"/>
                <w:lang w:eastAsia="zh-CN"/>
              </w:rPr>
            </w:pPr>
            <w:r>
              <w:rPr>
                <w:rFonts w:hint="eastAsia" w:ascii="宋体" w:hAnsi="宋体" w:cs="宋体"/>
                <w:sz w:val="24"/>
              </w:rPr>
              <w:t>商务</w:t>
            </w:r>
            <w:r>
              <w:rPr>
                <w:rFonts w:hint="eastAsia" w:ascii="宋体" w:hAnsi="宋体" w:cs="宋体"/>
                <w:sz w:val="24"/>
                <w:lang w:val="en-US" w:eastAsia="zh-CN"/>
              </w:rPr>
              <w:t>分</w:t>
            </w:r>
          </w:p>
          <w:p>
            <w:pPr>
              <w:spacing w:line="320" w:lineRule="exact"/>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0分）</w:t>
            </w:r>
          </w:p>
        </w:tc>
        <w:tc>
          <w:tcPr>
            <w:tcW w:w="1036" w:type="dxa"/>
            <w:noWrap w:val="0"/>
            <w:vAlign w:val="center"/>
          </w:tcPr>
          <w:p>
            <w:pPr>
              <w:spacing w:line="320" w:lineRule="exact"/>
              <w:jc w:val="center"/>
              <w:rPr>
                <w:rFonts w:ascii="宋体" w:hAnsi="宋体" w:cs="宋体"/>
                <w:sz w:val="24"/>
              </w:rPr>
            </w:pPr>
            <w:r>
              <w:rPr>
                <w:rFonts w:hint="eastAsia" w:ascii="宋体" w:hAnsi="宋体" w:cs="宋体"/>
                <w:sz w:val="24"/>
                <w:lang w:val="en-US" w:eastAsia="zh-CN"/>
              </w:rPr>
              <w:t>7</w:t>
            </w:r>
            <w:r>
              <w:rPr>
                <w:rFonts w:hint="eastAsia" w:ascii="宋体" w:hAnsi="宋体" w:cs="宋体"/>
                <w:sz w:val="24"/>
              </w:rPr>
              <w:t>0</w:t>
            </w:r>
          </w:p>
        </w:tc>
        <w:tc>
          <w:tcPr>
            <w:tcW w:w="5145" w:type="dxa"/>
            <w:noWrap w:val="0"/>
            <w:vAlign w:val="center"/>
          </w:tcPr>
          <w:p>
            <w:pPr>
              <w:spacing w:line="320" w:lineRule="exact"/>
              <w:rPr>
                <w:rFonts w:hint="eastAsia" w:ascii="宋体" w:hAnsi="宋体"/>
                <w:sz w:val="22"/>
                <w:szCs w:val="21"/>
              </w:rPr>
            </w:pPr>
            <w:r>
              <w:rPr>
                <w:rFonts w:hint="eastAsia" w:ascii="宋体" w:hAnsi="宋体"/>
                <w:sz w:val="22"/>
                <w:szCs w:val="21"/>
              </w:rPr>
              <w:t>1、确定有效报价：投标报价低于招标控制价的投标报价为有效报价</w:t>
            </w:r>
          </w:p>
          <w:p>
            <w:pPr>
              <w:spacing w:line="320" w:lineRule="exact"/>
              <w:rPr>
                <w:rFonts w:hint="eastAsia" w:ascii="宋体" w:hAnsi="宋体" w:cs="宋体"/>
                <w:sz w:val="24"/>
              </w:rPr>
            </w:pPr>
            <w:r>
              <w:rPr>
                <w:rFonts w:hint="eastAsia" w:ascii="宋体" w:hAnsi="宋体"/>
                <w:sz w:val="22"/>
                <w:szCs w:val="21"/>
              </w:rPr>
              <w:t>2、确定基准价：所有有效报价的算术平均值为评标基准价，投标报价等于评标基准价的得满分</w:t>
            </w:r>
            <w:r>
              <w:rPr>
                <w:rFonts w:hint="eastAsia" w:ascii="宋体" w:hAnsi="宋体"/>
                <w:sz w:val="22"/>
                <w:szCs w:val="21"/>
                <w:lang w:val="en-US" w:eastAsia="zh-CN"/>
              </w:rPr>
              <w:t>7</w:t>
            </w:r>
            <w:r>
              <w:rPr>
                <w:rFonts w:hint="eastAsia" w:ascii="宋体" w:hAnsi="宋体"/>
                <w:sz w:val="22"/>
                <w:szCs w:val="21"/>
              </w:rPr>
              <w:t>0分，各投标人的投标报价与评标基准价相比较，每上浮1%扣0.9分，下浮1%扣0.6分，不足1%的采用插入法，得分保留小数点后两位。</w:t>
            </w:r>
          </w:p>
        </w:tc>
        <w:tc>
          <w:tcPr>
            <w:tcW w:w="1106" w:type="dxa"/>
            <w:noWrap w:val="0"/>
            <w:vAlign w:val="center"/>
          </w:tcPr>
          <w:p>
            <w:pPr>
              <w:spacing w:line="320" w:lineRule="exact"/>
              <w:jc w:val="center"/>
              <w:rPr>
                <w:rFonts w:ascii="宋体" w:hAnsi="宋体" w:cs="宋体"/>
                <w:sz w:val="24"/>
              </w:rPr>
            </w:pPr>
            <w:r>
              <w:rPr>
                <w:rFonts w:hint="eastAsia" w:ascii="宋体" w:hAnsi="宋体" w:cs="宋体"/>
                <w:sz w:val="24"/>
                <w:lang w:val="en-US" w:eastAsia="zh-CN"/>
              </w:rPr>
              <w:t>7</w:t>
            </w:r>
            <w:r>
              <w:rPr>
                <w:rFonts w:hint="eastAsia" w:ascii="宋体" w:hAnsi="宋体" w:cs="宋体"/>
                <w:sz w:val="24"/>
              </w:rPr>
              <w:t>0</w:t>
            </w:r>
          </w:p>
        </w:tc>
      </w:tr>
    </w:tbl>
    <w:p>
      <w:pPr>
        <w:spacing w:line="480" w:lineRule="exact"/>
        <w:ind w:firstLine="480" w:firstLineChars="200"/>
        <w:rPr>
          <w:rFonts w:hint="eastAsia" w:asciiTheme="minorEastAsia" w:hAnsiTheme="minorEastAsia" w:eastAsiaTheme="minorEastAsia"/>
          <w:b w:val="0"/>
          <w:bCs w:val="0"/>
          <w:sz w:val="24"/>
          <w:szCs w:val="24"/>
          <w:highlight w:val="yellow"/>
        </w:rPr>
      </w:pPr>
      <w:r>
        <w:rPr>
          <w:rFonts w:hint="eastAsia" w:cs="宋体" w:asciiTheme="minorEastAsia" w:hAnsiTheme="minorEastAsia"/>
          <w:b w:val="0"/>
          <w:bCs w:val="0"/>
          <w:kern w:val="0"/>
          <w:sz w:val="24"/>
          <w:szCs w:val="24"/>
          <w:highlight w:val="none"/>
          <w:lang w:val="en-US" w:eastAsia="zh-CN"/>
        </w:rPr>
        <w:t>2、</w:t>
      </w:r>
      <w:r>
        <w:rPr>
          <w:rFonts w:hint="eastAsia" w:cs="宋体" w:asciiTheme="minorEastAsia" w:hAnsiTheme="minorEastAsia" w:eastAsiaTheme="minorEastAsia"/>
          <w:b w:val="0"/>
          <w:bCs w:val="0"/>
          <w:kern w:val="0"/>
          <w:sz w:val="24"/>
          <w:szCs w:val="24"/>
          <w:highlight w:val="none"/>
          <w:lang w:val="zh-CN"/>
        </w:rPr>
        <w:t>由招标人组织有关人员结合投标人资格等对投标文件进行评定，在符合</w:t>
      </w:r>
      <w:r>
        <w:rPr>
          <w:rFonts w:hint="eastAsia" w:cs="宋体" w:asciiTheme="minorEastAsia" w:hAnsiTheme="minorEastAsia" w:eastAsiaTheme="minorEastAsia"/>
          <w:b w:val="0"/>
          <w:bCs w:val="0"/>
          <w:kern w:val="0"/>
          <w:sz w:val="24"/>
          <w:szCs w:val="24"/>
          <w:highlight w:val="none"/>
        </w:rPr>
        <w:t>招</w:t>
      </w:r>
      <w:r>
        <w:rPr>
          <w:rFonts w:hint="eastAsia" w:cs="宋体" w:asciiTheme="minorEastAsia" w:hAnsiTheme="minorEastAsia" w:eastAsiaTheme="minorEastAsia"/>
          <w:b w:val="0"/>
          <w:bCs w:val="0"/>
          <w:kern w:val="0"/>
          <w:sz w:val="24"/>
          <w:szCs w:val="24"/>
          <w:highlight w:val="none"/>
          <w:lang w:val="zh-CN"/>
        </w:rPr>
        <w:t>标要求的前提下，</w:t>
      </w:r>
      <w:r>
        <w:rPr>
          <w:rFonts w:hint="eastAsia" w:ascii="宋体" w:hAnsi="宋体" w:cs="宋体"/>
          <w:b w:val="0"/>
          <w:bCs w:val="0"/>
          <w:color w:val="000000"/>
          <w:kern w:val="0"/>
          <w:sz w:val="24"/>
        </w:rPr>
        <w:t>依据</w:t>
      </w:r>
      <w:r>
        <w:rPr>
          <w:rFonts w:hint="eastAsia" w:ascii="宋体" w:hAnsi="宋体" w:cs="宋体"/>
          <w:b w:val="0"/>
          <w:bCs w:val="0"/>
          <w:color w:val="000000"/>
          <w:kern w:val="0"/>
          <w:sz w:val="24"/>
          <w:lang w:val="en-US" w:eastAsia="zh-CN"/>
        </w:rPr>
        <w:t>投标人</w:t>
      </w:r>
      <w:r>
        <w:rPr>
          <w:rFonts w:hint="eastAsia" w:ascii="宋体" w:hAnsi="宋体" w:cs="宋体"/>
          <w:b w:val="0"/>
          <w:bCs w:val="0"/>
          <w:color w:val="000000"/>
          <w:kern w:val="0"/>
          <w:sz w:val="24"/>
        </w:rPr>
        <w:t>的</w:t>
      </w:r>
      <w:r>
        <w:rPr>
          <w:rFonts w:hint="eastAsia" w:ascii="宋体" w:hAnsi="宋体" w:cs="宋体"/>
          <w:b w:val="0"/>
          <w:bCs w:val="0"/>
          <w:color w:val="000000"/>
          <w:kern w:val="0"/>
          <w:sz w:val="24"/>
          <w:highlight w:val="yellow"/>
          <w:lang w:val="en-US" w:eastAsia="zh-CN"/>
        </w:rPr>
        <w:t>综合得分</w:t>
      </w:r>
      <w:r>
        <w:rPr>
          <w:rFonts w:hint="eastAsia" w:ascii="宋体" w:hAnsi="宋体" w:cs="宋体"/>
          <w:b w:val="0"/>
          <w:bCs w:val="0"/>
          <w:color w:val="000000"/>
          <w:kern w:val="0"/>
          <w:sz w:val="24"/>
          <w:highlight w:val="yellow"/>
        </w:rPr>
        <w:t>由低到高排序，</w:t>
      </w:r>
      <w:r>
        <w:rPr>
          <w:rFonts w:hint="eastAsia" w:ascii="宋体" w:hAnsi="宋体" w:cs="宋体"/>
          <w:b w:val="0"/>
          <w:bCs w:val="0"/>
          <w:color w:val="000000"/>
          <w:kern w:val="0"/>
          <w:sz w:val="24"/>
          <w:highlight w:val="yellow"/>
          <w:lang w:val="en-US" w:eastAsia="zh-CN"/>
        </w:rPr>
        <w:t>得分最高的投标人</w:t>
      </w:r>
      <w:r>
        <w:rPr>
          <w:rFonts w:hint="eastAsia" w:cs="宋体" w:asciiTheme="minorEastAsia" w:hAnsiTheme="minorEastAsia" w:eastAsiaTheme="minorEastAsia"/>
          <w:b w:val="0"/>
          <w:bCs w:val="0"/>
          <w:kern w:val="0"/>
          <w:sz w:val="24"/>
          <w:szCs w:val="24"/>
          <w:highlight w:val="yellow"/>
          <w:lang w:val="zh-CN"/>
        </w:rPr>
        <w:t>为第一中标候选人</w:t>
      </w:r>
      <w:r>
        <w:rPr>
          <w:rFonts w:hint="eastAsia" w:cs="宋体" w:asciiTheme="minorEastAsia" w:hAnsiTheme="minorEastAsia"/>
          <w:b w:val="0"/>
          <w:bCs w:val="0"/>
          <w:kern w:val="0"/>
          <w:sz w:val="24"/>
          <w:szCs w:val="24"/>
          <w:highlight w:val="yellow"/>
          <w:lang w:val="zh-CN"/>
        </w:rPr>
        <w:t>；</w:t>
      </w:r>
      <w:r>
        <w:rPr>
          <w:rFonts w:hint="eastAsia" w:asciiTheme="minorEastAsia" w:hAnsiTheme="minorEastAsia" w:eastAsiaTheme="minorEastAsia"/>
          <w:b w:val="0"/>
          <w:bCs w:val="0"/>
          <w:sz w:val="24"/>
          <w:szCs w:val="24"/>
          <w:highlight w:val="yellow"/>
        </w:rPr>
        <w:t>确定成交候选人的特殊情况处理：</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（1）若总分相同，则按</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得分高者优先成交</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（2）若总分且</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相同，则采取现场抽签的方式确定</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3</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评审时，评委对评审的细则若有争议，</w:t>
      </w:r>
      <w:r>
        <w:rPr>
          <w:rFonts w:hint="eastAsia" w:asciiTheme="minorEastAsia" w:hAnsiTheme="minorEastAsia"/>
          <w:b w:val="0"/>
          <w:bCs w:val="0"/>
          <w:sz w:val="24"/>
          <w:szCs w:val="24"/>
          <w:highlight w:val="none"/>
          <w:lang w:val="en-US" w:eastAsia="zh-CN"/>
        </w:rPr>
        <w:t>可</w:t>
      </w:r>
      <w:r>
        <w:rPr>
          <w:rFonts w:hint="eastAsia" w:asciiTheme="minorEastAsia" w:hAnsiTheme="minorEastAsia" w:eastAsiaTheme="minorEastAsia"/>
          <w:b w:val="0"/>
          <w:bCs w:val="0"/>
          <w:sz w:val="24"/>
          <w:szCs w:val="24"/>
          <w:highlight w:val="none"/>
        </w:rPr>
        <w:t>集体讨论确定，并对未尽情况有最终解释权</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4</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对落标的供应商不做落标原因的解释</w:t>
      </w:r>
    </w:p>
    <w:p>
      <w:pPr>
        <w:spacing w:line="480" w:lineRule="exact"/>
        <w:ind w:firstLine="480" w:firstLineChars="200"/>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val="0"/>
          <w:bCs w:val="0"/>
          <w:kern w:val="0"/>
          <w:sz w:val="24"/>
          <w:szCs w:val="24"/>
          <w:highlight w:val="none"/>
          <w:lang w:val="en-US" w:eastAsia="zh-CN"/>
        </w:rPr>
        <w:t>3、</w:t>
      </w:r>
      <w:r>
        <w:rPr>
          <w:rFonts w:hint="eastAsia" w:cs="宋体" w:asciiTheme="minorEastAsia" w:hAnsiTheme="minorEastAsia" w:eastAsiaTheme="minorEastAsia"/>
          <w:b w:val="0"/>
          <w:bCs w:val="0"/>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7、一次报定的报价为成交价。中标方的成交价在合同实施期间不因市场变化因素而变动。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8、投标方应依据招标需求清单，自行进行现场勘测，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bookmarkStart w:id="2" w:name="_GoBack"/>
      <w:bookmarkEnd w:id="2"/>
      <w:r>
        <w:rPr>
          <w:rFonts w:hint="eastAsia" w:cs="宋体" w:asciiTheme="minorEastAsia" w:hAnsiTheme="minorEastAsia"/>
          <w:b/>
          <w:bCs/>
          <w:kern w:val="0"/>
          <w:sz w:val="24"/>
          <w:szCs w:val="24"/>
          <w:highlight w:val="none"/>
          <w:lang w:val="en-US" w:eastAsia="zh-CN"/>
        </w:rPr>
        <w:t>9</w:t>
      </w:r>
      <w:bookmarkStart w:id="0" w:name="_Toc423465999"/>
      <w:bookmarkStart w:id="1" w:name="_Toc425249095"/>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0"/>
      <w:bookmarkEnd w:id="1"/>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2"/>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spacing w:line="360" w:lineRule="auto"/>
        <w:ind w:firstLine="480" w:firstLineChars="200"/>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5、达到《有害生物防制服务机构能力等级评定》标准A级的要求的资质文件证明（复印件）；</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6、现场勘察承诺函（格式见附件）；</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7、投标保证金付款凭证</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360" w:lineRule="auto"/>
        <w:ind w:left="150" w:leftChars="0" w:firstLine="480" w:firstLineChars="0"/>
        <w:textAlignment w:val="auto"/>
        <w:rPr>
          <w:rFonts w:hint="eastAsia"/>
          <w:b/>
          <w:bCs w:val="0"/>
          <w:sz w:val="24"/>
          <w:szCs w:val="24"/>
          <w:highlight w:val="none"/>
          <w:lang w:val="en-US" w:eastAsia="zh-CN"/>
        </w:rPr>
      </w:pPr>
      <w:r>
        <w:rPr>
          <w:rFonts w:hint="eastAsia"/>
          <w:b/>
          <w:bCs w:val="0"/>
          <w:sz w:val="24"/>
          <w:szCs w:val="24"/>
          <w:highlight w:val="none"/>
          <w:lang w:val="en-US" w:eastAsia="zh-CN"/>
        </w:rPr>
        <w:t>技术标：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rPr>
          <w:rFonts w:hint="default"/>
          <w:b w:val="0"/>
          <w:bCs/>
          <w:sz w:val="24"/>
          <w:szCs w:val="24"/>
          <w:highlight w:val="none"/>
          <w:lang w:val="en-US" w:eastAsia="zh-CN"/>
        </w:rPr>
      </w:pPr>
      <w:r>
        <w:rPr>
          <w:rFonts w:hint="eastAsia"/>
          <w:b w:val="0"/>
          <w:bCs/>
          <w:sz w:val="24"/>
          <w:szCs w:val="24"/>
          <w:highlight w:val="none"/>
          <w:lang w:val="en-US" w:eastAsia="zh-CN"/>
        </w:rPr>
        <w:t>1、参见本文件将“评分规则”，自行准备相关文件</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三</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ascii="宋体" w:hAnsi="宋体" w:cs="宋体"/>
          <w:sz w:val="24"/>
          <w:highlight w:val="none"/>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pStyle w:val="2"/>
        <w:rPr>
          <w:rFonts w:hint="eastAsia"/>
          <w:lang w:eastAsia="zh-CN"/>
        </w:rPr>
      </w:pP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highlight w:val="none"/>
        </w:rPr>
      </w:pPr>
      <w:r>
        <w:rPr>
          <w:rFonts w:hint="eastAsia" w:cs="宋体" w:asciiTheme="minorEastAsia" w:hAnsiTheme="minorEastAsia" w:eastAsiaTheme="minorEastAsia"/>
          <w:b w:val="0"/>
          <w:bCs w:val="0"/>
          <w:kern w:val="0"/>
          <w:sz w:val="24"/>
          <w:szCs w:val="24"/>
          <w:highlight w:val="none"/>
          <w:lang w:val="zh-CN"/>
        </w:rPr>
        <w:t>1、本</w:t>
      </w:r>
      <w:r>
        <w:rPr>
          <w:rFonts w:hint="eastAsia" w:cs="宋体" w:asciiTheme="minorEastAsia" w:hAnsiTheme="minorEastAsia"/>
          <w:b w:val="0"/>
          <w:bCs w:val="0"/>
          <w:kern w:val="0"/>
          <w:sz w:val="24"/>
          <w:szCs w:val="24"/>
          <w:highlight w:val="none"/>
          <w:lang w:val="zh-CN"/>
        </w:rPr>
        <w:t>项目</w:t>
      </w:r>
      <w:r>
        <w:rPr>
          <w:rFonts w:hint="eastAsia" w:cs="宋体" w:asciiTheme="minorEastAsia" w:hAnsiTheme="minorEastAsia" w:eastAsiaTheme="minorEastAsia"/>
          <w:b w:val="0"/>
          <w:bCs w:val="0"/>
          <w:kern w:val="0"/>
          <w:sz w:val="24"/>
          <w:szCs w:val="24"/>
          <w:highlight w:val="none"/>
          <w:lang w:val="zh-CN"/>
        </w:rPr>
        <w:t>投标</w:t>
      </w:r>
      <w:r>
        <w:rPr>
          <w:rFonts w:hint="eastAsia" w:asciiTheme="minorEastAsia" w:hAnsiTheme="minorEastAsia" w:eastAsiaTheme="minorEastAsia"/>
          <w:bCs/>
          <w:color w:val="000000"/>
          <w:kern w:val="0"/>
          <w:sz w:val="24"/>
          <w:szCs w:val="24"/>
          <w:highlight w:val="none"/>
        </w:rPr>
        <w:t>文</w:t>
      </w:r>
      <w:r>
        <w:rPr>
          <w:rFonts w:hint="eastAsia" w:asciiTheme="minorEastAsia" w:hAnsiTheme="minorEastAsia" w:eastAsiaTheme="minorEastAsia"/>
          <w:bCs/>
          <w:kern w:val="0"/>
          <w:sz w:val="24"/>
          <w:szCs w:val="24"/>
          <w:highlight w:val="none"/>
        </w:rPr>
        <w:t>件由</w:t>
      </w:r>
      <w:r>
        <w:rPr>
          <w:rFonts w:hint="eastAsia" w:asciiTheme="minorEastAsia" w:hAnsiTheme="minorEastAsia" w:eastAsiaTheme="minorEastAsia"/>
          <w:kern w:val="0"/>
          <w:sz w:val="24"/>
          <w:szCs w:val="24"/>
          <w:highlight w:val="yellow"/>
          <w:u w:val="single"/>
        </w:rPr>
        <w:t>资格审查文件、</w:t>
      </w:r>
      <w:r>
        <w:rPr>
          <w:rFonts w:hint="eastAsia" w:asciiTheme="minorEastAsia" w:hAnsiTheme="minorEastAsia"/>
          <w:kern w:val="0"/>
          <w:sz w:val="24"/>
          <w:szCs w:val="24"/>
          <w:highlight w:val="yellow"/>
          <w:u w:val="single"/>
          <w:lang w:val="en-US" w:eastAsia="zh-CN"/>
        </w:rPr>
        <w:t>技术标、</w:t>
      </w:r>
      <w:r>
        <w:rPr>
          <w:rFonts w:hint="eastAsia" w:asciiTheme="minorEastAsia" w:hAnsiTheme="minorEastAsia" w:eastAsiaTheme="minorEastAsia"/>
          <w:kern w:val="0"/>
          <w:sz w:val="24"/>
          <w:szCs w:val="24"/>
          <w:highlight w:val="yellow"/>
          <w:u w:val="single"/>
        </w:rPr>
        <w:t>商务标</w:t>
      </w:r>
      <w:r>
        <w:rPr>
          <w:rFonts w:hint="eastAsia" w:asciiTheme="minorEastAsia" w:hAnsiTheme="minorEastAsia"/>
          <w:bCs/>
          <w:kern w:val="0"/>
          <w:sz w:val="24"/>
          <w:szCs w:val="24"/>
          <w:highlight w:val="yellow"/>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组成。</w:t>
      </w:r>
      <w:r>
        <w:rPr>
          <w:rFonts w:asciiTheme="minorEastAsia" w:hAnsiTheme="minorEastAsia" w:eastAsiaTheme="minorEastAsia"/>
          <w:bCs/>
          <w:color w:val="000000"/>
          <w:kern w:val="0"/>
          <w:sz w:val="24"/>
          <w:szCs w:val="24"/>
          <w:highlight w:val="none"/>
        </w:rPr>
        <w:t>资格审查</w:t>
      </w:r>
      <w:r>
        <w:rPr>
          <w:rFonts w:hint="eastAsia" w:asciiTheme="minorEastAsia" w:hAnsiTheme="minorEastAsia" w:eastAsiaTheme="minorEastAsia"/>
          <w:bCs/>
          <w:color w:val="000000"/>
          <w:kern w:val="0"/>
          <w:sz w:val="24"/>
          <w:szCs w:val="24"/>
          <w:highlight w:val="none"/>
        </w:rPr>
        <w:t>文件（</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w:t>
      </w:r>
      <w:r>
        <w:rPr>
          <w:rFonts w:hint="eastAsia" w:asciiTheme="minorEastAsia" w:hAnsiTheme="minorEastAsia"/>
          <w:bCs/>
          <w:color w:val="000000"/>
          <w:kern w:val="0"/>
          <w:sz w:val="24"/>
          <w:szCs w:val="24"/>
          <w:highlight w:val="none"/>
          <w:lang w:val="en-US" w:eastAsia="zh-CN"/>
        </w:rPr>
        <w:t>技术</w:t>
      </w:r>
      <w:r>
        <w:rPr>
          <w:rFonts w:asciiTheme="minorEastAsia" w:hAnsiTheme="minorEastAsia" w:eastAsiaTheme="minorEastAsia"/>
          <w:bCs/>
          <w:color w:val="000000"/>
          <w:kern w:val="0"/>
          <w:sz w:val="24"/>
          <w:szCs w:val="24"/>
          <w:highlight w:val="none"/>
        </w:rPr>
        <w:t>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hint="eastAsia" w:asciiTheme="minorEastAsia" w:hAnsiTheme="minorEastAsia"/>
          <w:bCs/>
          <w:color w:val="000000"/>
          <w:kern w:val="0"/>
          <w:sz w:val="24"/>
          <w:szCs w:val="24"/>
          <w:highlight w:val="none"/>
          <w:lang w:eastAsia="zh-CN"/>
        </w:rPr>
        <w:t>；</w:t>
      </w:r>
      <w:r>
        <w:rPr>
          <w:rFonts w:asciiTheme="minorEastAsia" w:hAnsiTheme="minorEastAsia" w:eastAsiaTheme="minorEastAsia"/>
          <w:bCs/>
          <w:color w:val="000000"/>
          <w:kern w:val="0"/>
          <w:sz w:val="24"/>
          <w:szCs w:val="24"/>
          <w:highlight w:val="none"/>
        </w:rPr>
        <w:t>商务标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asciiTheme="minorEastAsia" w:hAnsiTheme="minorEastAsia" w:eastAsiaTheme="minorEastAsia"/>
          <w:bCs/>
          <w:color w:val="000000"/>
          <w:kern w:val="0"/>
          <w:sz w:val="24"/>
          <w:szCs w:val="24"/>
          <w:highlight w:val="none"/>
        </w:rPr>
        <w:t>2、</w:t>
      </w:r>
      <w:r>
        <w:rPr>
          <w:rFonts w:hint="eastAsia" w:asciiTheme="minorEastAsia" w:hAnsiTheme="minorEastAsia" w:eastAsiaTheme="minorEastAsia"/>
          <w:bCs/>
          <w:kern w:val="0"/>
          <w:sz w:val="24"/>
          <w:szCs w:val="24"/>
          <w:highlight w:val="yellow"/>
          <w:u w:val="single"/>
        </w:rPr>
        <w:t>资格审查文件、</w:t>
      </w:r>
      <w:r>
        <w:rPr>
          <w:rFonts w:hint="eastAsia" w:asciiTheme="minorEastAsia" w:hAnsiTheme="minorEastAsia"/>
          <w:bCs/>
          <w:kern w:val="0"/>
          <w:sz w:val="24"/>
          <w:szCs w:val="24"/>
          <w:highlight w:val="yellow"/>
          <w:u w:val="single"/>
          <w:lang w:val="en-US" w:eastAsia="zh-CN"/>
        </w:rPr>
        <w:t>技术标、</w:t>
      </w:r>
      <w:r>
        <w:rPr>
          <w:rFonts w:hint="eastAsia" w:asciiTheme="minorEastAsia" w:hAnsiTheme="minorEastAsia" w:eastAsiaTheme="minorEastAsia"/>
          <w:bCs/>
          <w:kern w:val="0"/>
          <w:sz w:val="24"/>
          <w:szCs w:val="24"/>
          <w:highlight w:val="yellow"/>
          <w:u w:val="single"/>
        </w:rPr>
        <w:t>商务标</w:t>
      </w:r>
      <w:r>
        <w:rPr>
          <w:rFonts w:hint="eastAsia" w:asciiTheme="minorEastAsia" w:hAnsiTheme="minorEastAsia"/>
          <w:bCs/>
          <w:kern w:val="0"/>
          <w:sz w:val="24"/>
          <w:szCs w:val="24"/>
          <w:highlight w:val="yellow"/>
          <w:u w:val="single"/>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，必须</w:t>
      </w:r>
      <w:r>
        <w:rPr>
          <w:rFonts w:hint="eastAsia" w:asciiTheme="minorEastAsia" w:hAnsiTheme="minorEastAsia" w:eastAsiaTheme="minorEastAsia"/>
          <w:bCs/>
          <w:kern w:val="0"/>
          <w:sz w:val="24"/>
          <w:szCs w:val="24"/>
          <w:highlight w:val="none"/>
          <w:u w:val="single"/>
        </w:rPr>
        <w:t>分袋密封</w:t>
      </w:r>
      <w:r>
        <w:rPr>
          <w:rFonts w:hint="eastAsia" w:asciiTheme="minorEastAsia" w:hAnsiTheme="minorEastAsia" w:eastAsiaTheme="minorEastAsia"/>
          <w:bCs/>
          <w:kern w:val="0"/>
          <w:sz w:val="24"/>
          <w:szCs w:val="24"/>
          <w:highlight w:val="none"/>
        </w:rPr>
        <w:t>，并在封袋上加盖投标人单位公章和单位法定代表人章，另须在封袋上标明“资格审查文件”、</w:t>
      </w:r>
      <w:r>
        <w:rPr>
          <w:rFonts w:hint="eastAsia" w:asciiTheme="minorEastAsia" w:hAnsiTheme="minorEastAsia"/>
          <w:bCs/>
          <w:kern w:val="0"/>
          <w:sz w:val="24"/>
          <w:szCs w:val="24"/>
          <w:highlight w:val="none"/>
          <w:lang w:eastAsia="zh-CN"/>
        </w:rPr>
        <w:t>“</w:t>
      </w:r>
      <w:r>
        <w:rPr>
          <w:rFonts w:hint="eastAsia" w:asciiTheme="minorEastAsia" w:hAnsiTheme="minorEastAsia"/>
          <w:bCs/>
          <w:kern w:val="0"/>
          <w:sz w:val="24"/>
          <w:szCs w:val="24"/>
          <w:highlight w:val="none"/>
          <w:lang w:val="en-US" w:eastAsia="zh-CN"/>
        </w:rPr>
        <w:t>技术标</w:t>
      </w:r>
      <w:r>
        <w:rPr>
          <w:rFonts w:hint="eastAsia" w:asciiTheme="minorEastAsia" w:hAnsiTheme="minorEastAsia"/>
          <w:bCs/>
          <w:kern w:val="0"/>
          <w:sz w:val="24"/>
          <w:szCs w:val="24"/>
          <w:highlight w:val="none"/>
          <w:lang w:eastAsia="zh-CN"/>
        </w:rPr>
        <w:t>”、</w:t>
      </w:r>
      <w:r>
        <w:rPr>
          <w:rFonts w:hint="eastAsia" w:asciiTheme="minorEastAsia" w:hAnsiTheme="minorEastAsia" w:eastAsiaTheme="minorEastAsia"/>
          <w:bCs/>
          <w:kern w:val="0"/>
          <w:sz w:val="24"/>
          <w:szCs w:val="24"/>
          <w:highlight w:val="none"/>
        </w:rPr>
        <w:t>“商务标”，同时还要写明招标人名称、</w:t>
      </w:r>
      <w:r>
        <w:rPr>
          <w:rFonts w:hint="eastAsia" w:asciiTheme="minorEastAsia" w:hAnsiTheme="minorEastAsia" w:eastAsiaTheme="minorEastAsia"/>
          <w:bCs/>
          <w:kern w:val="0"/>
          <w:sz w:val="24"/>
          <w:szCs w:val="24"/>
          <w:highlight w:val="none"/>
          <w:lang w:eastAsia="zh-CN"/>
        </w:rPr>
        <w:t>项目</w:t>
      </w:r>
      <w:r>
        <w:rPr>
          <w:rFonts w:hint="eastAsia" w:asciiTheme="minorEastAsia" w:hAnsiTheme="minorEastAsia" w:eastAsiaTheme="minorEastAsia"/>
          <w:bCs/>
          <w:kern w:val="0"/>
          <w:sz w:val="24"/>
          <w:szCs w:val="24"/>
          <w:highlight w:val="none"/>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3、</w:t>
      </w:r>
      <w:r>
        <w:rPr>
          <w:rFonts w:hint="eastAsia" w:asciiTheme="minorEastAsia" w:hAnsiTheme="minorEastAsia" w:eastAsiaTheme="minorEastAsia"/>
          <w:sz w:val="24"/>
          <w:szCs w:val="24"/>
          <w:highlight w:val="none"/>
        </w:rPr>
        <w:t>投标文件递交截止时间：</w:t>
      </w:r>
      <w:r>
        <w:rPr>
          <w:rFonts w:hint="eastAsia" w:asciiTheme="minorEastAsia" w:hAnsiTheme="minorEastAsia" w:eastAsiaTheme="minorEastAsia"/>
          <w:b/>
          <w:sz w:val="24"/>
          <w:szCs w:val="24"/>
          <w:highlight w:val="none"/>
          <w:u w:val="single"/>
        </w:rPr>
        <w:t>202</w:t>
      </w:r>
      <w:r>
        <w:rPr>
          <w:rFonts w:hint="eastAsia" w:asciiTheme="minorEastAsia" w:hAnsiTheme="minorEastAsia"/>
          <w:b/>
          <w:sz w:val="24"/>
          <w:szCs w:val="24"/>
          <w:highlight w:val="none"/>
          <w:u w:val="single"/>
          <w:lang w:val="en-US" w:eastAsia="zh-CN"/>
        </w:rPr>
        <w:t>3</w:t>
      </w:r>
      <w:r>
        <w:rPr>
          <w:rFonts w:hint="eastAsia" w:asciiTheme="minorEastAsia" w:hAnsiTheme="minorEastAsia" w:eastAsiaTheme="minorEastAsia"/>
          <w:b/>
          <w:sz w:val="24"/>
          <w:szCs w:val="24"/>
          <w:highlight w:val="none"/>
        </w:rPr>
        <w:t>年</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7</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eastAsiaTheme="minorEastAsia"/>
          <w:b/>
          <w:sz w:val="24"/>
          <w:szCs w:val="24"/>
          <w:highlight w:val="none"/>
        </w:rPr>
        <w:t>月</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19  </w:t>
      </w:r>
      <w:r>
        <w:rPr>
          <w:rFonts w:hint="eastAsia" w:asciiTheme="minorEastAsia" w:hAnsiTheme="minorEastAsia" w:eastAsiaTheme="minorEastAsia"/>
          <w:b/>
          <w:sz w:val="24"/>
          <w:szCs w:val="24"/>
          <w:highlight w:val="none"/>
        </w:rPr>
        <w:t>日</w:t>
      </w:r>
      <w:r>
        <w:rPr>
          <w:rFonts w:hint="eastAsia" w:asciiTheme="minorEastAsia" w:hAnsiTheme="minorEastAsia" w:eastAsiaTheme="minorEastAsia"/>
          <w:b/>
          <w:sz w:val="24"/>
          <w:szCs w:val="24"/>
          <w:highlight w:val="none"/>
          <w:u w:val="single"/>
          <w:lang w:val="en-US" w:eastAsia="zh-CN"/>
        </w:rPr>
        <w:t>1</w:t>
      </w:r>
      <w:r>
        <w:rPr>
          <w:rFonts w:hint="eastAsia" w:asciiTheme="minorEastAsia" w:hAnsiTheme="minorEastAsia"/>
          <w:b/>
          <w:sz w:val="24"/>
          <w:szCs w:val="24"/>
          <w:highlight w:val="none"/>
          <w:u w:val="single"/>
          <w:lang w:val="en-US" w:eastAsia="zh-CN"/>
        </w:rPr>
        <w:t>0</w:t>
      </w:r>
      <w:r>
        <w:rPr>
          <w:rFonts w:hint="eastAsia" w:cs="宋体" w:asciiTheme="minorEastAsia" w:hAnsiTheme="minorEastAsia" w:eastAsiaTheme="minorEastAsia"/>
          <w:b/>
          <w:kern w:val="0"/>
          <w:sz w:val="24"/>
          <w:szCs w:val="24"/>
          <w:highlight w:val="none"/>
          <w:lang w:val="zh-CN"/>
        </w:rPr>
        <w:t>时</w:t>
      </w:r>
      <w:r>
        <w:rPr>
          <w:rFonts w:hint="eastAsia" w:asciiTheme="minorEastAsia" w:hAnsiTheme="minorEastAsia" w:eastAsiaTheme="minorEastAsia"/>
          <w:b/>
          <w:sz w:val="24"/>
          <w:szCs w:val="24"/>
          <w:highlight w:val="none"/>
          <w:u w:val="single"/>
          <w:lang w:val="en-US" w:eastAsia="zh-CN"/>
        </w:rPr>
        <w:t>00</w:t>
      </w:r>
      <w:r>
        <w:rPr>
          <w:rFonts w:hint="eastAsia" w:cs="宋体" w:asciiTheme="minorEastAsia" w:hAnsiTheme="minorEastAsia" w:eastAsiaTheme="minorEastAsia"/>
          <w:b/>
          <w:kern w:val="0"/>
          <w:sz w:val="24"/>
          <w:szCs w:val="24"/>
          <w:highlight w:val="none"/>
          <w:lang w:val="zh-CN"/>
        </w:rPr>
        <w:t>分</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highlight w:val="none"/>
          <w:lang w:val="zh-CN" w:eastAsia="zh-CN" w:bidi="ar-SA"/>
        </w:rPr>
      </w:pPr>
      <w:r>
        <w:rPr>
          <w:rFonts w:hint="eastAsia" w:cs="Times New Roman" w:asciiTheme="minorEastAsia" w:hAnsiTheme="minorEastAsia" w:eastAsiaTheme="minorEastAsia"/>
          <w:bCs/>
          <w:color w:val="000000"/>
          <w:kern w:val="0"/>
          <w:sz w:val="24"/>
          <w:szCs w:val="24"/>
          <w:highlight w:val="none"/>
          <w:lang w:val="en-US" w:eastAsia="zh-CN" w:bidi="ar-SA"/>
        </w:rPr>
        <w:t>1）</w:t>
      </w:r>
      <w:r>
        <w:rPr>
          <w:rFonts w:hint="eastAsia" w:cs="Times New Roman" w:asciiTheme="minorEastAsia" w:hAnsiTheme="minorEastAsia" w:eastAsiaTheme="minorEastAsia"/>
          <w:bCs/>
          <w:color w:val="000000"/>
          <w:kern w:val="0"/>
          <w:sz w:val="24"/>
          <w:szCs w:val="24"/>
          <w:highlight w:val="none"/>
          <w:lang w:val="zh-CN" w:eastAsia="zh-CN" w:bidi="ar-SA"/>
        </w:rPr>
        <w:t>由于疫情原因，投标人将投标文件以邮寄（仅限邮政EMS或顺丰速运）的方式递交给招标单位，邮寄地址：江苏省南通市跃龙南路508号滨江洲际酒店采购部，</w:t>
      </w:r>
      <w:r>
        <w:rPr>
          <w:rFonts w:hint="eastAsia" w:cs="Times New Roman" w:asciiTheme="minorEastAsia" w:hAnsiTheme="minorEastAsia" w:eastAsiaTheme="minorEastAsia"/>
          <w:b/>
          <w:bCs w:val="0"/>
          <w:color w:val="000000"/>
          <w:kern w:val="0"/>
          <w:sz w:val="24"/>
          <w:szCs w:val="24"/>
          <w:highlight w:val="none"/>
          <w:lang w:val="zh-CN" w:eastAsia="zh-CN" w:bidi="ar-SA"/>
        </w:rPr>
        <w:t>收件人：山女士，联系方式：</w:t>
      </w:r>
      <w:r>
        <w:rPr>
          <w:rFonts w:hint="eastAsia" w:cs="Times New Roman" w:asciiTheme="minorEastAsia" w:hAnsiTheme="minorEastAsia" w:eastAsiaTheme="minorEastAsia"/>
          <w:b/>
          <w:bCs w:val="0"/>
          <w:color w:val="000000"/>
          <w:kern w:val="0"/>
          <w:sz w:val="24"/>
          <w:szCs w:val="24"/>
          <w:highlight w:val="none"/>
          <w:lang w:val="en-US" w:eastAsia="zh-CN" w:bidi="ar-SA"/>
        </w:rPr>
        <w:t>18993952719</w:t>
      </w:r>
      <w:r>
        <w:rPr>
          <w:rFonts w:hint="eastAsia" w:cs="Times New Roman" w:asciiTheme="minorEastAsia" w:hAnsiTheme="minorEastAsia" w:eastAsiaTheme="minorEastAsia"/>
          <w:bCs/>
          <w:color w:val="000000"/>
          <w:kern w:val="0"/>
          <w:sz w:val="24"/>
          <w:szCs w:val="24"/>
          <w:highlight w:val="none"/>
          <w:lang w:val="zh-CN" w:eastAsia="zh-CN" w:bidi="ar-SA"/>
        </w:rPr>
        <w:t>。请各投标人充分考虑快递的配送时效，投标文件接收时间以快递送达并签收时间为准，若投标文件在</w:t>
      </w:r>
      <w:r>
        <w:rPr>
          <w:rFonts w:hint="eastAsia" w:cs="Times New Roman" w:asciiTheme="minorEastAsia" w:hAnsiTheme="minorEastAsia" w:eastAsiaTheme="minorEastAsia"/>
          <w:b/>
          <w:bCs w:val="0"/>
          <w:color w:val="000000"/>
          <w:kern w:val="0"/>
          <w:sz w:val="24"/>
          <w:szCs w:val="24"/>
          <w:highlight w:val="none"/>
          <w:u w:val="single"/>
          <w:lang w:val="zh-CN" w:eastAsia="zh-CN" w:bidi="ar-SA"/>
        </w:rPr>
        <w:t>202</w:t>
      </w:r>
      <w:r>
        <w:rPr>
          <w:rFonts w:hint="eastAsia" w:cs="Times New Roman" w:asciiTheme="minorEastAsia" w:hAnsiTheme="minorEastAsia"/>
          <w:b/>
          <w:bCs w:val="0"/>
          <w:color w:val="000000"/>
          <w:kern w:val="0"/>
          <w:sz w:val="24"/>
          <w:szCs w:val="24"/>
          <w:highlight w:val="none"/>
          <w:u w:val="single"/>
          <w:lang w:val="en-US" w:eastAsia="zh-CN" w:bidi="ar-SA"/>
        </w:rPr>
        <w:t>3</w:t>
      </w:r>
      <w:r>
        <w:rPr>
          <w:rFonts w:hint="eastAsia" w:cs="Times New Roman" w:asciiTheme="minorEastAsia" w:hAnsiTheme="minorEastAsia" w:eastAsiaTheme="minorEastAsia"/>
          <w:b/>
          <w:bCs w:val="0"/>
          <w:color w:val="000000"/>
          <w:kern w:val="0"/>
          <w:sz w:val="24"/>
          <w:szCs w:val="24"/>
          <w:highlight w:val="none"/>
          <w:lang w:val="zh-CN" w:eastAsia="zh-CN" w:bidi="ar-SA"/>
        </w:rPr>
        <w:t>年</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7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月</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19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日</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1</w:t>
      </w:r>
      <w:r>
        <w:rPr>
          <w:rFonts w:hint="eastAsia" w:cs="Times New Roman" w:asciiTheme="minorEastAsia" w:hAnsiTheme="minorEastAsia"/>
          <w:b/>
          <w:bCs w:val="0"/>
          <w:color w:val="000000"/>
          <w:kern w:val="0"/>
          <w:sz w:val="24"/>
          <w:szCs w:val="24"/>
          <w:highlight w:val="none"/>
          <w:u w:val="single"/>
          <w:lang w:val="en-US" w:eastAsia="zh-CN" w:bidi="ar-SA"/>
        </w:rPr>
        <w:t>0</w:t>
      </w:r>
      <w:r>
        <w:rPr>
          <w:rFonts w:hint="eastAsia" w:cs="Times New Roman" w:asciiTheme="minorEastAsia" w:hAnsiTheme="minorEastAsia" w:eastAsiaTheme="minorEastAsia"/>
          <w:b/>
          <w:bCs w:val="0"/>
          <w:color w:val="000000"/>
          <w:kern w:val="0"/>
          <w:sz w:val="24"/>
          <w:szCs w:val="24"/>
          <w:highlight w:val="none"/>
          <w:lang w:val="zh-CN" w:eastAsia="zh-CN" w:bidi="ar-SA"/>
        </w:rPr>
        <w:t>时</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00</w:t>
      </w:r>
      <w:r>
        <w:rPr>
          <w:rFonts w:hint="eastAsia" w:cs="Times New Roman" w:asciiTheme="minorEastAsia" w:hAnsiTheme="minorEastAsia" w:eastAsiaTheme="minorEastAsia"/>
          <w:b/>
          <w:bCs w:val="0"/>
          <w:color w:val="000000"/>
          <w:kern w:val="0"/>
          <w:sz w:val="24"/>
          <w:szCs w:val="24"/>
          <w:highlight w:val="none"/>
          <w:lang w:val="zh-CN" w:eastAsia="zh-CN" w:bidi="ar-SA"/>
        </w:rPr>
        <w:t>分</w:t>
      </w:r>
      <w:r>
        <w:rPr>
          <w:rFonts w:hint="eastAsia" w:cs="Times New Roman" w:asciiTheme="minorEastAsia" w:hAnsiTheme="minorEastAsia" w:eastAsiaTheme="minorEastAsia"/>
          <w:bCs/>
          <w:color w:val="000000"/>
          <w:kern w:val="0"/>
          <w:sz w:val="24"/>
          <w:szCs w:val="24"/>
          <w:highlight w:val="none"/>
          <w:lang w:val="zh-CN" w:eastAsia="zh-CN" w:bidi="ar-SA"/>
        </w:rPr>
        <w:t>前未送达的，其投标文件将被拒绝。（请各投标人申请材料寄出后一定和收件人确认签收情况，否则由此导致的后果由投标人自行承担）。</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highlight w:val="none"/>
        </w:rPr>
      </w:pPr>
      <w:r>
        <w:rPr>
          <w:rFonts w:hint="eastAsia" w:cs="Times New Roman" w:asciiTheme="minorEastAsia" w:hAnsiTheme="minorEastAsia" w:eastAsiaTheme="minorEastAsia"/>
          <w:bCs/>
          <w:color w:val="000000"/>
          <w:kern w:val="0"/>
          <w:sz w:val="24"/>
          <w:szCs w:val="24"/>
          <w:highlight w:val="none"/>
          <w:lang w:val="en-US" w:eastAsia="zh-CN" w:bidi="ar-SA"/>
        </w:rPr>
        <w:t>2）</w:t>
      </w:r>
      <w:r>
        <w:rPr>
          <w:rFonts w:hint="eastAsia" w:cs="Times New Roman" w:asciiTheme="minorEastAsia" w:hAnsiTheme="minorEastAsia" w:eastAsiaTheme="minorEastAsia"/>
          <w:bCs/>
          <w:color w:val="000000"/>
          <w:kern w:val="0"/>
          <w:sz w:val="24"/>
          <w:szCs w:val="24"/>
          <w:highlight w:val="none"/>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highlight w:val="none"/>
          <w:lang w:val="zh-CN"/>
        </w:rPr>
        <w:t xml:space="preserve"> </w:t>
      </w:r>
    </w:p>
    <w:p>
      <w:pPr>
        <w:spacing w:line="360" w:lineRule="auto"/>
        <w:jc w:val="left"/>
        <w:rPr>
          <w:b/>
          <w:sz w:val="28"/>
          <w:szCs w:val="28"/>
          <w:highlight w:val="none"/>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虫害防治服务</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（资格审查资料/</w:t>
      </w:r>
      <w:r>
        <w:rPr>
          <w:rFonts w:hint="eastAsia" w:asciiTheme="minorEastAsia" w:hAnsiTheme="minorEastAsia"/>
          <w:b/>
          <w:bCs/>
          <w:sz w:val="44"/>
          <w:szCs w:val="44"/>
          <w:highlight w:val="none"/>
          <w:lang w:val="en-US" w:eastAsia="zh-CN"/>
        </w:rPr>
        <w:t>技术标/</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虫害防治服务</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3"/>
        </w:numPr>
        <w:snapToGrid w:val="0"/>
        <w:spacing w:before="360" w:beforeLines="150" w:after="120" w:afterLines="50" w:line="420" w:lineRule="exact"/>
        <w:jc w:val="center"/>
        <w:rPr>
          <w:b/>
          <w:bCs/>
          <w:sz w:val="32"/>
          <w:szCs w:val="32"/>
        </w:rPr>
      </w:pPr>
      <w:r>
        <w:rPr>
          <w:b/>
          <w:bCs/>
          <w:sz w:val="32"/>
          <w:szCs w:val="32"/>
        </w:rPr>
        <w:t>无重大违法记录声明函</w:t>
      </w:r>
    </w:p>
    <w:p>
      <w:pPr>
        <w:pStyle w:val="6"/>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6"/>
        <w:rPr>
          <w:sz w:val="24"/>
          <w:highlight w:val="none"/>
        </w:rPr>
      </w:pPr>
    </w:p>
    <w:p>
      <w:pPr>
        <w:pStyle w:val="6"/>
        <w:rPr>
          <w:sz w:val="24"/>
          <w:highlight w:val="none"/>
        </w:rPr>
      </w:pPr>
    </w:p>
    <w:p>
      <w:pPr>
        <w:pStyle w:val="6"/>
        <w:rPr>
          <w:sz w:val="24"/>
          <w:highlight w:val="none"/>
        </w:rPr>
      </w:pPr>
    </w:p>
    <w:p>
      <w:pPr>
        <w:pStyle w:val="6"/>
        <w:rPr>
          <w:sz w:val="24"/>
          <w:highlight w:val="none"/>
        </w:rPr>
      </w:pPr>
    </w:p>
    <w:p>
      <w:pPr>
        <w:pStyle w:val="6"/>
        <w:rPr>
          <w:sz w:val="24"/>
          <w:highlight w:val="none"/>
        </w:rPr>
      </w:pPr>
    </w:p>
    <w:p>
      <w:pPr>
        <w:pStyle w:val="6"/>
        <w:rPr>
          <w:sz w:val="24"/>
          <w:highlight w:val="none"/>
        </w:rPr>
      </w:pPr>
    </w:p>
    <w:p>
      <w:pPr>
        <w:pStyle w:val="6"/>
        <w:rPr>
          <w:sz w:val="24"/>
          <w:highlight w:val="none"/>
        </w:rPr>
      </w:pPr>
    </w:p>
    <w:p>
      <w:pPr>
        <w:pStyle w:val="6"/>
        <w:rPr>
          <w:sz w:val="24"/>
          <w:highlight w:val="none"/>
        </w:rPr>
      </w:pPr>
    </w:p>
    <w:p>
      <w:pPr>
        <w:pStyle w:val="6"/>
        <w:rPr>
          <w:sz w:val="24"/>
          <w:highlight w:val="none"/>
        </w:rPr>
      </w:pPr>
    </w:p>
    <w:p>
      <w:pPr>
        <w:pStyle w:val="6"/>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9"/>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9"/>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9"/>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9"/>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9"/>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9"/>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9"/>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9"/>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6"/>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6"/>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虫害防治服务</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项目进行了现场踏勘，并详细地了解了项目周围的环境、现场条件及项目要求。</w:t>
      </w:r>
    </w:p>
    <w:p>
      <w:pPr>
        <w:pStyle w:val="6"/>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6"/>
        <w:ind w:left="0" w:leftChars="0" w:firstLine="0" w:firstLineChars="0"/>
        <w:rPr>
          <w:rFonts w:hint="eastAsia"/>
          <w:sz w:val="28"/>
          <w:szCs w:val="28"/>
          <w:highlight w:val="none"/>
        </w:rPr>
      </w:pPr>
    </w:p>
    <w:p>
      <w:pPr>
        <w:pStyle w:val="6"/>
        <w:ind w:firstLine="3640" w:firstLineChars="1300"/>
        <w:rPr>
          <w:rFonts w:hint="eastAsia"/>
          <w:sz w:val="28"/>
          <w:szCs w:val="28"/>
          <w:highlight w:val="none"/>
        </w:rPr>
      </w:pPr>
      <w:r>
        <w:rPr>
          <w:rFonts w:hint="eastAsia"/>
          <w:sz w:val="28"/>
          <w:szCs w:val="28"/>
          <w:highlight w:val="none"/>
        </w:rPr>
        <w:t>投标单位名称∶（全称、盖章）</w:t>
      </w:r>
    </w:p>
    <w:p>
      <w:pPr>
        <w:pStyle w:val="6"/>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6"/>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6"/>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6"/>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6"/>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6"/>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虫害防治服务</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r>
        <w:rPr>
          <w:rFonts w:hint="eastAsia" w:asciiTheme="minorEastAsia" w:hAnsiTheme="minorEastAsia" w:eastAsiaTheme="minorEastAsia"/>
          <w:kern w:val="0"/>
          <w:sz w:val="24"/>
          <w:szCs w:val="20"/>
          <w:highlight w:val="none"/>
        </w:rPr>
        <w:t>，并提交</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元作为履约担保。</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6"/>
        <w:rPr>
          <w:rFonts w:asciiTheme="minorEastAsia" w:hAnsiTheme="minorEastAsia" w:eastAsiaTheme="minorEastAsia"/>
          <w:kern w:val="0"/>
          <w:sz w:val="28"/>
          <w:szCs w:val="20"/>
          <w:highlight w:val="none"/>
        </w:rPr>
      </w:pPr>
    </w:p>
    <w:p>
      <w:pPr>
        <w:pStyle w:val="6"/>
        <w:rPr>
          <w:rFonts w:asciiTheme="minorEastAsia" w:hAnsiTheme="minorEastAsia" w:eastAsiaTheme="minorEastAsia"/>
          <w:kern w:val="0"/>
          <w:sz w:val="28"/>
          <w:szCs w:val="20"/>
          <w:highlight w:val="none"/>
        </w:rPr>
      </w:pPr>
    </w:p>
    <w:p>
      <w:pPr>
        <w:pStyle w:val="6"/>
        <w:rPr>
          <w:rFonts w:asciiTheme="minorEastAsia" w:hAnsiTheme="minorEastAsia" w:eastAsiaTheme="minorEastAsia"/>
          <w:kern w:val="0"/>
          <w:sz w:val="28"/>
          <w:szCs w:val="20"/>
          <w:highlight w:val="none"/>
        </w:rPr>
      </w:pPr>
    </w:p>
    <w:p>
      <w:pPr>
        <w:pStyle w:val="6"/>
        <w:rPr>
          <w:rFonts w:asciiTheme="minorEastAsia" w:hAnsiTheme="minorEastAsia" w:eastAsiaTheme="minorEastAsia"/>
          <w:kern w:val="0"/>
          <w:sz w:val="28"/>
          <w:szCs w:val="20"/>
          <w:highlight w:val="none"/>
        </w:rPr>
      </w:pPr>
    </w:p>
    <w:p>
      <w:pPr>
        <w:spacing w:line="360" w:lineRule="auto"/>
        <w:jc w:val="both"/>
        <w:rPr>
          <w:rFonts w:hint="eastAsia" w:asciiTheme="minorEastAsia" w:hAnsiTheme="minorEastAsia"/>
          <w:b/>
          <w:sz w:val="32"/>
          <w:szCs w:val="32"/>
          <w:highlight w:val="none"/>
          <w:lang w:val="en-US" w:eastAsia="zh-CN"/>
        </w:rPr>
      </w:pPr>
    </w:p>
    <w:p>
      <w:pPr>
        <w:pStyle w:val="2"/>
        <w:rPr>
          <w:rFonts w:hint="eastAsia" w:asciiTheme="minorEastAsia" w:hAnsiTheme="minorEastAsia"/>
          <w:b/>
          <w:sz w:val="32"/>
          <w:szCs w:val="32"/>
          <w:highlight w:val="none"/>
          <w:lang w:val="en-US" w:eastAsia="zh-CN"/>
        </w:rPr>
      </w:pPr>
    </w:p>
    <w:p>
      <w:pPr>
        <w:spacing w:line="360" w:lineRule="auto"/>
        <w:jc w:val="center"/>
        <w:rPr>
          <w:rFonts w:hint="default" w:asciiTheme="minorEastAsia" w:hAnsiTheme="minorEastAsia" w:eastAsiaTheme="minorEastAsia"/>
          <w:b/>
          <w:sz w:val="32"/>
          <w:szCs w:val="32"/>
          <w:highlight w:val="none"/>
          <w:lang w:val="en-US" w:eastAsia="zh-CN"/>
        </w:rPr>
      </w:pPr>
      <w:r>
        <w:rPr>
          <w:rFonts w:hint="eastAsia" w:asciiTheme="minorEastAsia" w:hAnsiTheme="minorEastAsia"/>
          <w:b/>
          <w:sz w:val="32"/>
          <w:szCs w:val="32"/>
          <w:highlight w:val="none"/>
          <w:lang w:val="en-US" w:eastAsia="zh-CN"/>
        </w:rPr>
        <w:t>七</w:t>
      </w:r>
      <w:r>
        <w:rPr>
          <w:rFonts w:hint="eastAsia" w:asciiTheme="minorEastAsia" w:hAnsiTheme="minorEastAsia" w:eastAsiaTheme="minorEastAsia"/>
          <w:b/>
          <w:sz w:val="32"/>
          <w:szCs w:val="32"/>
          <w:highlight w:val="none"/>
        </w:rPr>
        <w:t>、</w:t>
      </w:r>
      <w:r>
        <w:rPr>
          <w:rFonts w:hint="eastAsia" w:asciiTheme="minorEastAsia" w:hAnsiTheme="minorEastAsia"/>
          <w:b/>
          <w:sz w:val="32"/>
          <w:szCs w:val="32"/>
          <w:highlight w:val="none"/>
          <w:lang w:eastAsia="zh-CN"/>
        </w:rPr>
        <w:t>报</w:t>
      </w:r>
      <w:r>
        <w:rPr>
          <w:rFonts w:hint="eastAsia" w:asciiTheme="minorEastAsia" w:hAnsiTheme="minorEastAsia"/>
          <w:b/>
          <w:sz w:val="32"/>
          <w:szCs w:val="32"/>
          <w:highlight w:val="none"/>
          <w:lang w:val="en-US" w:eastAsia="zh-CN"/>
        </w:rPr>
        <w:t xml:space="preserve"> </w:t>
      </w:r>
      <w:r>
        <w:rPr>
          <w:rFonts w:hint="eastAsia" w:asciiTheme="minorEastAsia" w:hAnsiTheme="minorEastAsia"/>
          <w:b/>
          <w:sz w:val="32"/>
          <w:szCs w:val="32"/>
          <w:highlight w:val="none"/>
          <w:lang w:eastAsia="zh-CN"/>
        </w:rPr>
        <w:t>价</w:t>
      </w:r>
      <w:r>
        <w:rPr>
          <w:rFonts w:hint="eastAsia" w:asciiTheme="minorEastAsia" w:hAnsiTheme="minorEastAsia"/>
          <w:b/>
          <w:sz w:val="32"/>
          <w:szCs w:val="32"/>
          <w:highlight w:val="none"/>
          <w:lang w:val="en-US" w:eastAsia="zh-CN"/>
        </w:rPr>
        <w:t xml:space="preserve"> 单</w:t>
      </w:r>
    </w:p>
    <w:p>
      <w:pPr>
        <w:pStyle w:val="9"/>
        <w:widowControl w:val="0"/>
        <w:spacing w:before="0" w:beforeAutospacing="0" w:after="0" w:afterAutospacing="0" w:line="360" w:lineRule="exact"/>
        <w:jc w:val="both"/>
        <w:rPr>
          <w:rFonts w:hint="eastAsia"/>
          <w:b/>
          <w:bCs/>
          <w:sz w:val="30"/>
          <w:szCs w:val="30"/>
          <w:highlight w:val="none"/>
        </w:rPr>
      </w:pPr>
    </w:p>
    <w:p>
      <w:pPr>
        <w:pStyle w:val="9"/>
        <w:widowControl w:val="0"/>
        <w:spacing w:before="0" w:beforeAutospacing="0" w:after="0" w:afterAutospacing="0" w:line="360" w:lineRule="exact"/>
        <w:jc w:val="both"/>
        <w:rPr>
          <w:rFonts w:hint="eastAsia"/>
          <w:b/>
          <w:bCs/>
          <w:sz w:val="30"/>
          <w:szCs w:val="30"/>
          <w:highlight w:val="none"/>
        </w:rPr>
      </w:pPr>
    </w:p>
    <w:p>
      <w:pPr>
        <w:pStyle w:val="2"/>
        <w:rPr>
          <w:rFonts w:hint="eastAsia" w:asciiTheme="minorEastAsia" w:hAnsiTheme="minorEastAsia" w:eastAsiaTheme="minorEastAsia" w:cstheme="minorEastAsia"/>
          <w:b/>
          <w:bCs/>
          <w:sz w:val="40"/>
          <w:szCs w:val="40"/>
          <w:highlight w:val="none"/>
          <w:u w:val="single"/>
          <w:lang w:val="en-US" w:eastAsia="zh-CN"/>
        </w:rPr>
      </w:pPr>
      <w:r>
        <w:rPr>
          <w:rFonts w:hint="eastAsia" w:ascii="宋体" w:hAnsi="宋体" w:eastAsia="宋体" w:cs="宋体"/>
          <w:b/>
          <w:bCs/>
          <w:sz w:val="36"/>
          <w:szCs w:val="36"/>
          <w:highlight w:val="none"/>
          <w:lang w:val="en-US" w:eastAsia="zh-CN"/>
        </w:rPr>
        <w:t>经核计，本次项目</w:t>
      </w:r>
      <w:r>
        <w:rPr>
          <w:rFonts w:hint="eastAsia" w:ascii="宋体" w:hAnsi="宋体" w:eastAsia="宋体" w:cs="宋体"/>
          <w:b/>
          <w:bCs/>
          <w:sz w:val="36"/>
          <w:szCs w:val="36"/>
          <w:highlight w:val="yellow"/>
          <w:lang w:val="en-US" w:eastAsia="zh-CN"/>
        </w:rPr>
        <w:t>不含税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w:t>
      </w:r>
      <w:r>
        <w:rPr>
          <w:rFonts w:hint="eastAsia" w:ascii="宋体" w:hAnsi="宋体" w:eastAsia="宋体" w:cs="宋体"/>
          <w:b/>
          <w:bCs/>
          <w:sz w:val="36"/>
          <w:szCs w:val="36"/>
          <w:highlight w:val="yellow"/>
          <w:lang w:val="en-US" w:eastAsia="zh-CN"/>
        </w:rPr>
        <w:t>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元（注：开具税率为</w:t>
      </w:r>
      <w:r>
        <w:rPr>
          <w:rFonts w:hint="eastAsia" w:ascii="宋体"/>
          <w:b/>
          <w:bCs/>
          <w:sz w:val="36"/>
          <w:szCs w:val="36"/>
          <w:highlight w:val="none"/>
          <w:u w:val="single"/>
          <w:lang w:val="en-US" w:eastAsia="zh-CN"/>
        </w:rPr>
        <w:t xml:space="preserve">     </w:t>
      </w:r>
      <w:r>
        <w:rPr>
          <w:rFonts w:hint="eastAsia" w:ascii="宋体"/>
          <w:b/>
          <w:bCs/>
          <w:sz w:val="36"/>
          <w:szCs w:val="36"/>
          <w:highlight w:val="none"/>
          <w:lang w:val="en-US" w:eastAsia="zh-CN"/>
        </w:rPr>
        <w:t>%的增值税专用发票）</w:t>
      </w:r>
    </w:p>
    <w:p>
      <w:pPr>
        <w:spacing w:line="360" w:lineRule="auto"/>
        <w:rPr>
          <w:rFonts w:hint="eastAsia" w:cs="宋体" w:asciiTheme="minorEastAsia" w:hAnsiTheme="minorEastAsia" w:eastAsiaTheme="minorEastAsia"/>
          <w:sz w:val="28"/>
          <w:szCs w:val="28"/>
          <w:highlight w:val="none"/>
          <w:lang w:eastAsia="zh-CN"/>
        </w:rPr>
      </w:pPr>
      <w:r>
        <w:rPr>
          <w:rFonts w:hint="eastAsia" w:ascii="宋体" w:hAnsi="宋体"/>
          <w:b/>
          <w:kern w:val="0"/>
          <w:sz w:val="24"/>
          <w:szCs w:val="24"/>
          <w:highlight w:val="none"/>
          <w:lang w:eastAsia="zh-CN"/>
        </w:rPr>
        <w:t>（</w:t>
      </w:r>
      <w:r>
        <w:rPr>
          <w:rFonts w:hint="eastAsia" w:ascii="宋体" w:hAnsi="宋体"/>
          <w:b/>
          <w:kern w:val="0"/>
          <w:sz w:val="24"/>
          <w:szCs w:val="24"/>
          <w:highlight w:val="none"/>
        </w:rPr>
        <w:t>友情提醒：</w:t>
      </w:r>
      <w:r>
        <w:rPr>
          <w:rFonts w:hint="eastAsia" w:ascii="宋体" w:hAnsi="宋体"/>
          <w:b/>
          <w:kern w:val="0"/>
          <w:sz w:val="24"/>
          <w:szCs w:val="24"/>
          <w:highlight w:val="none"/>
          <w:lang w:val="en-US" w:eastAsia="zh-CN"/>
        </w:rPr>
        <w:t>报价明细</w:t>
      </w:r>
      <w:r>
        <w:rPr>
          <w:rFonts w:hint="eastAsia" w:ascii="宋体" w:hAnsi="宋体"/>
          <w:b/>
          <w:kern w:val="0"/>
          <w:sz w:val="24"/>
          <w:szCs w:val="24"/>
          <w:highlight w:val="none"/>
        </w:rPr>
        <w:t>每一页均须加盖投标人公章</w:t>
      </w:r>
      <w:r>
        <w:rPr>
          <w:rFonts w:hint="eastAsia" w:ascii="宋体" w:hAnsi="宋体"/>
          <w:b/>
          <w:kern w:val="0"/>
          <w:sz w:val="24"/>
          <w:szCs w:val="24"/>
          <w:highlight w:val="none"/>
          <w:lang w:eastAsia="zh-CN"/>
        </w:rPr>
        <w:t>）</w:t>
      </w:r>
    </w:p>
    <w:p>
      <w:pPr>
        <w:spacing w:line="360" w:lineRule="auto"/>
        <w:rPr>
          <w:rFonts w:cs="宋体" w:asciiTheme="minorEastAsia" w:hAnsiTheme="minorEastAsia" w:eastAsiaTheme="minorEastAsia"/>
          <w:sz w:val="28"/>
          <w:szCs w:val="28"/>
          <w:highlight w:val="none"/>
        </w:rPr>
      </w:pPr>
    </w:p>
    <w:p>
      <w:pPr>
        <w:spacing w:line="360" w:lineRule="auto"/>
        <w:rPr>
          <w:rFonts w:cs="宋体" w:asciiTheme="minorEastAsia" w:hAnsiTheme="minorEastAsia" w:eastAsiaTheme="minorEastAsia"/>
          <w:sz w:val="28"/>
          <w:szCs w:val="28"/>
          <w:highlight w:val="none"/>
        </w:rPr>
      </w:pPr>
    </w:p>
    <w:p>
      <w:pPr>
        <w:pStyle w:val="6"/>
        <w:rPr>
          <w:rFonts w:asciiTheme="minorEastAsia" w:hAnsiTheme="minorEastAsia" w:eastAsiaTheme="minorEastAsia"/>
          <w:kern w:val="0"/>
          <w:sz w:val="28"/>
          <w:szCs w:val="20"/>
          <w:highlight w:val="none"/>
        </w:rPr>
      </w:pPr>
    </w:p>
    <w:p>
      <w:pPr>
        <w:pStyle w:val="6"/>
        <w:numPr>
          <w:ilvl w:val="0"/>
          <w:numId w:val="0"/>
        </w:numPr>
        <w:ind w:firstLine="4480" w:firstLineChars="1600"/>
        <w:jc w:val="both"/>
        <w:rPr>
          <w:rFonts w:hint="eastAsia"/>
          <w:sz w:val="28"/>
          <w:szCs w:val="36"/>
          <w:highlight w:val="none"/>
          <w:lang w:eastAsia="zh-CN"/>
        </w:rPr>
      </w:pPr>
      <w:r>
        <w:rPr>
          <w:rFonts w:hint="eastAsia"/>
          <w:sz w:val="28"/>
          <w:szCs w:val="36"/>
          <w:highlight w:val="none"/>
          <w:lang w:val="en-US" w:eastAsia="zh-CN"/>
        </w:rPr>
        <w:t>投标人</w:t>
      </w:r>
      <w:r>
        <w:rPr>
          <w:rFonts w:hint="eastAsia"/>
          <w:sz w:val="28"/>
          <w:szCs w:val="36"/>
          <w:highlight w:val="none"/>
          <w:lang w:eastAsia="zh-CN"/>
        </w:rPr>
        <w:t>名称（盖章）：</w:t>
      </w:r>
    </w:p>
    <w:p>
      <w:pPr>
        <w:pStyle w:val="6"/>
        <w:numPr>
          <w:ilvl w:val="0"/>
          <w:numId w:val="0"/>
        </w:numPr>
        <w:ind w:firstLine="3920" w:firstLineChars="1400"/>
        <w:jc w:val="both"/>
        <w:rPr>
          <w:rFonts w:hint="default"/>
          <w:highlight w:val="none"/>
          <w:lang w:val="en-US" w:eastAsia="zh-CN"/>
        </w:rPr>
      </w:pPr>
      <w:r>
        <w:rPr>
          <w:rFonts w:hint="eastAsia"/>
          <w:sz w:val="28"/>
          <w:szCs w:val="36"/>
          <w:highlight w:val="none"/>
          <w:lang w:val="en-US" w:eastAsia="zh-CN"/>
        </w:rPr>
        <w:t xml:space="preserve">    日 期：   年    月    日</w:t>
      </w:r>
    </w:p>
    <w:p>
      <w:pPr>
        <w:kinsoku w:val="0"/>
        <w:topLinePunct/>
        <w:snapToGrid w:val="0"/>
        <w:spacing w:line="360" w:lineRule="auto"/>
        <w:jc w:val="both"/>
        <w:rPr>
          <w:rFonts w:ascii="宋体"/>
          <w:sz w:val="24"/>
          <w:szCs w:val="24"/>
          <w:highlight w:val="none"/>
        </w:rPr>
      </w:pP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F6C16"/>
    <w:multiLevelType w:val="singleLevel"/>
    <w:tmpl w:val="98CF6C16"/>
    <w:lvl w:ilvl="0" w:tentative="0">
      <w:start w:val="5"/>
      <w:numFmt w:val="decimal"/>
      <w:suff w:val="nothing"/>
      <w:lvlText w:val="%1、"/>
      <w:lvlJc w:val="left"/>
      <w:pPr>
        <w:ind w:left="210"/>
      </w:pPr>
    </w:lvl>
  </w:abstractNum>
  <w:abstractNum w:abstractNumId="1">
    <w:nsid w:val="C41906E2"/>
    <w:multiLevelType w:val="singleLevel"/>
    <w:tmpl w:val="C41906E2"/>
    <w:lvl w:ilvl="0" w:tentative="0">
      <w:start w:val="3"/>
      <w:numFmt w:val="chineseCounting"/>
      <w:suff w:val="nothing"/>
      <w:lvlText w:val="%1、"/>
      <w:lvlJc w:val="left"/>
      <w:rPr>
        <w:rFonts w:hint="eastAsia"/>
      </w:rPr>
    </w:lvl>
  </w:abstractNum>
  <w:abstractNum w:abstractNumId="2">
    <w:nsid w:val="E5B68351"/>
    <w:multiLevelType w:val="singleLevel"/>
    <w:tmpl w:val="E5B68351"/>
    <w:lvl w:ilvl="0" w:tentative="0">
      <w:start w:val="2"/>
      <w:numFmt w:val="chineseCounting"/>
      <w:suff w:val="nothing"/>
      <w:lvlText w:val="（%1）"/>
      <w:lvlJc w:val="left"/>
      <w:pPr>
        <w:ind w:left="15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20E0866"/>
    <w:rsid w:val="0247433D"/>
    <w:rsid w:val="024A07D9"/>
    <w:rsid w:val="02A9018E"/>
    <w:rsid w:val="03150010"/>
    <w:rsid w:val="03367A86"/>
    <w:rsid w:val="0349418E"/>
    <w:rsid w:val="03884130"/>
    <w:rsid w:val="0390015A"/>
    <w:rsid w:val="03B0747B"/>
    <w:rsid w:val="03C439AF"/>
    <w:rsid w:val="03D71AFF"/>
    <w:rsid w:val="041A0C8F"/>
    <w:rsid w:val="046D1D57"/>
    <w:rsid w:val="048015D5"/>
    <w:rsid w:val="04BE3D90"/>
    <w:rsid w:val="050312E6"/>
    <w:rsid w:val="05606B64"/>
    <w:rsid w:val="056A1349"/>
    <w:rsid w:val="056C28AB"/>
    <w:rsid w:val="061E2E95"/>
    <w:rsid w:val="06D852FF"/>
    <w:rsid w:val="06DC5B77"/>
    <w:rsid w:val="07041C7C"/>
    <w:rsid w:val="071024A9"/>
    <w:rsid w:val="077202F8"/>
    <w:rsid w:val="07F369E3"/>
    <w:rsid w:val="08135F53"/>
    <w:rsid w:val="084861FD"/>
    <w:rsid w:val="0912519A"/>
    <w:rsid w:val="0A0D2237"/>
    <w:rsid w:val="0A590099"/>
    <w:rsid w:val="0A856C30"/>
    <w:rsid w:val="0C0257D6"/>
    <w:rsid w:val="0C373C5A"/>
    <w:rsid w:val="0D2B7710"/>
    <w:rsid w:val="0D436424"/>
    <w:rsid w:val="0D4870C2"/>
    <w:rsid w:val="0D7427FE"/>
    <w:rsid w:val="0D78723E"/>
    <w:rsid w:val="0DB61575"/>
    <w:rsid w:val="0E051AE4"/>
    <w:rsid w:val="0E4D0891"/>
    <w:rsid w:val="0E8122BC"/>
    <w:rsid w:val="0EAB583F"/>
    <w:rsid w:val="0EE53584"/>
    <w:rsid w:val="0EE620AA"/>
    <w:rsid w:val="0F4260E1"/>
    <w:rsid w:val="0F60090A"/>
    <w:rsid w:val="0F99650A"/>
    <w:rsid w:val="0FB84D2A"/>
    <w:rsid w:val="0FCD7E91"/>
    <w:rsid w:val="0FE14BDA"/>
    <w:rsid w:val="1002493A"/>
    <w:rsid w:val="106C5F12"/>
    <w:rsid w:val="10AF05D3"/>
    <w:rsid w:val="11182823"/>
    <w:rsid w:val="11F71227"/>
    <w:rsid w:val="122E398A"/>
    <w:rsid w:val="13AB5F7D"/>
    <w:rsid w:val="13BE057F"/>
    <w:rsid w:val="13E80C01"/>
    <w:rsid w:val="141C79BA"/>
    <w:rsid w:val="14210684"/>
    <w:rsid w:val="14CC7FBE"/>
    <w:rsid w:val="14DA09CD"/>
    <w:rsid w:val="15665FBF"/>
    <w:rsid w:val="159717F1"/>
    <w:rsid w:val="15D333B2"/>
    <w:rsid w:val="15D50AF0"/>
    <w:rsid w:val="15DF7E95"/>
    <w:rsid w:val="16112AC3"/>
    <w:rsid w:val="169B7F23"/>
    <w:rsid w:val="16CC6CB0"/>
    <w:rsid w:val="16D25E7C"/>
    <w:rsid w:val="16DB593C"/>
    <w:rsid w:val="172C7C30"/>
    <w:rsid w:val="172F46FB"/>
    <w:rsid w:val="17306CCA"/>
    <w:rsid w:val="173D36A0"/>
    <w:rsid w:val="1798572E"/>
    <w:rsid w:val="17BA2FC0"/>
    <w:rsid w:val="17C401C6"/>
    <w:rsid w:val="17F12DBF"/>
    <w:rsid w:val="187F17E9"/>
    <w:rsid w:val="18941805"/>
    <w:rsid w:val="18AE7B1E"/>
    <w:rsid w:val="18B30AEE"/>
    <w:rsid w:val="18C82795"/>
    <w:rsid w:val="1A8F5291"/>
    <w:rsid w:val="1A926929"/>
    <w:rsid w:val="1AA65D2A"/>
    <w:rsid w:val="1AE40441"/>
    <w:rsid w:val="1B2F31D4"/>
    <w:rsid w:val="1B820215"/>
    <w:rsid w:val="1B855CC2"/>
    <w:rsid w:val="1B8E19C5"/>
    <w:rsid w:val="1BD61A6E"/>
    <w:rsid w:val="1C4421BA"/>
    <w:rsid w:val="1C6E5FCF"/>
    <w:rsid w:val="1CEB56BA"/>
    <w:rsid w:val="1D1C5A95"/>
    <w:rsid w:val="1D521B1E"/>
    <w:rsid w:val="1D7303B8"/>
    <w:rsid w:val="1E0B2AF9"/>
    <w:rsid w:val="1E5A22DA"/>
    <w:rsid w:val="1EFC07C3"/>
    <w:rsid w:val="1F005C89"/>
    <w:rsid w:val="1F097398"/>
    <w:rsid w:val="1F7635A0"/>
    <w:rsid w:val="1FC365F5"/>
    <w:rsid w:val="1FDF5663"/>
    <w:rsid w:val="201F11FF"/>
    <w:rsid w:val="20F26632"/>
    <w:rsid w:val="20FD708F"/>
    <w:rsid w:val="215A2D2B"/>
    <w:rsid w:val="221360BD"/>
    <w:rsid w:val="22687FAA"/>
    <w:rsid w:val="22E60075"/>
    <w:rsid w:val="23054888"/>
    <w:rsid w:val="24136224"/>
    <w:rsid w:val="2468603A"/>
    <w:rsid w:val="24E1360E"/>
    <w:rsid w:val="24F43360"/>
    <w:rsid w:val="251F451F"/>
    <w:rsid w:val="253E3B06"/>
    <w:rsid w:val="254119F6"/>
    <w:rsid w:val="25885BF4"/>
    <w:rsid w:val="25AF0589"/>
    <w:rsid w:val="25CA6107"/>
    <w:rsid w:val="260A7170"/>
    <w:rsid w:val="260D435E"/>
    <w:rsid w:val="267805BF"/>
    <w:rsid w:val="26B07746"/>
    <w:rsid w:val="26D30769"/>
    <w:rsid w:val="26E82628"/>
    <w:rsid w:val="26EE1BC2"/>
    <w:rsid w:val="271E0AF9"/>
    <w:rsid w:val="274517CA"/>
    <w:rsid w:val="27455109"/>
    <w:rsid w:val="27A631E5"/>
    <w:rsid w:val="282D6330"/>
    <w:rsid w:val="28555716"/>
    <w:rsid w:val="29796FA2"/>
    <w:rsid w:val="29CB6173"/>
    <w:rsid w:val="29DA05BC"/>
    <w:rsid w:val="2A125857"/>
    <w:rsid w:val="2A351FC9"/>
    <w:rsid w:val="2B5017D0"/>
    <w:rsid w:val="2B6C55D5"/>
    <w:rsid w:val="2C1F57EB"/>
    <w:rsid w:val="2C287093"/>
    <w:rsid w:val="2C406C2D"/>
    <w:rsid w:val="2C9B039E"/>
    <w:rsid w:val="2CF905AF"/>
    <w:rsid w:val="2D951CB1"/>
    <w:rsid w:val="2DB529A4"/>
    <w:rsid w:val="2DBA2BDA"/>
    <w:rsid w:val="2EBB6C7E"/>
    <w:rsid w:val="302E6B52"/>
    <w:rsid w:val="303B332C"/>
    <w:rsid w:val="309B4BAC"/>
    <w:rsid w:val="30AD5BD8"/>
    <w:rsid w:val="30BD5B90"/>
    <w:rsid w:val="30FF5561"/>
    <w:rsid w:val="31676BE5"/>
    <w:rsid w:val="31A6620E"/>
    <w:rsid w:val="31B01BE5"/>
    <w:rsid w:val="32432AB5"/>
    <w:rsid w:val="32E73FC4"/>
    <w:rsid w:val="340039C8"/>
    <w:rsid w:val="342B15C8"/>
    <w:rsid w:val="345C3C5B"/>
    <w:rsid w:val="348271B1"/>
    <w:rsid w:val="34A1676B"/>
    <w:rsid w:val="357471B3"/>
    <w:rsid w:val="35C40913"/>
    <w:rsid w:val="36016185"/>
    <w:rsid w:val="367414C5"/>
    <w:rsid w:val="367B21AF"/>
    <w:rsid w:val="36972799"/>
    <w:rsid w:val="376C137D"/>
    <w:rsid w:val="381B2009"/>
    <w:rsid w:val="38694118"/>
    <w:rsid w:val="38EF2F8B"/>
    <w:rsid w:val="39715BCA"/>
    <w:rsid w:val="39E16CEA"/>
    <w:rsid w:val="39E65EB2"/>
    <w:rsid w:val="3A3C1B19"/>
    <w:rsid w:val="3A5A5B4C"/>
    <w:rsid w:val="3A707E9D"/>
    <w:rsid w:val="3AF476DA"/>
    <w:rsid w:val="3B7B2DF1"/>
    <w:rsid w:val="3B842B30"/>
    <w:rsid w:val="3C016F3D"/>
    <w:rsid w:val="3C185753"/>
    <w:rsid w:val="3C736534"/>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32C7C27"/>
    <w:rsid w:val="438247B4"/>
    <w:rsid w:val="4398751D"/>
    <w:rsid w:val="44286D30"/>
    <w:rsid w:val="44302ED9"/>
    <w:rsid w:val="445F128E"/>
    <w:rsid w:val="454F64B7"/>
    <w:rsid w:val="45BA2EE8"/>
    <w:rsid w:val="4604549C"/>
    <w:rsid w:val="46053990"/>
    <w:rsid w:val="46BA3AEA"/>
    <w:rsid w:val="46CC1CB0"/>
    <w:rsid w:val="46F05322"/>
    <w:rsid w:val="47031FC9"/>
    <w:rsid w:val="472965FC"/>
    <w:rsid w:val="472F0F7C"/>
    <w:rsid w:val="47E6537B"/>
    <w:rsid w:val="47EE06D0"/>
    <w:rsid w:val="48103DE7"/>
    <w:rsid w:val="48CC6A94"/>
    <w:rsid w:val="49280868"/>
    <w:rsid w:val="493A236B"/>
    <w:rsid w:val="49B12923"/>
    <w:rsid w:val="49C22F2A"/>
    <w:rsid w:val="49D76984"/>
    <w:rsid w:val="4A0E7344"/>
    <w:rsid w:val="4B243536"/>
    <w:rsid w:val="4B5D38AB"/>
    <w:rsid w:val="4C3B5D13"/>
    <w:rsid w:val="4C5D48BB"/>
    <w:rsid w:val="4CFA592E"/>
    <w:rsid w:val="4D065F60"/>
    <w:rsid w:val="4D503DD0"/>
    <w:rsid w:val="4D7C7C5B"/>
    <w:rsid w:val="4D8B0521"/>
    <w:rsid w:val="4E93508B"/>
    <w:rsid w:val="4EA677AA"/>
    <w:rsid w:val="4EA74AD5"/>
    <w:rsid w:val="4EE41698"/>
    <w:rsid w:val="4EF17687"/>
    <w:rsid w:val="4F1C297B"/>
    <w:rsid w:val="506B7711"/>
    <w:rsid w:val="50F54D40"/>
    <w:rsid w:val="514B08B3"/>
    <w:rsid w:val="515040FB"/>
    <w:rsid w:val="515C51C4"/>
    <w:rsid w:val="516E081B"/>
    <w:rsid w:val="51C0122A"/>
    <w:rsid w:val="51DB4B2F"/>
    <w:rsid w:val="51FB1166"/>
    <w:rsid w:val="520A57F3"/>
    <w:rsid w:val="520D309A"/>
    <w:rsid w:val="52525EF7"/>
    <w:rsid w:val="52642D4A"/>
    <w:rsid w:val="5292601A"/>
    <w:rsid w:val="53B177DE"/>
    <w:rsid w:val="53B54338"/>
    <w:rsid w:val="54115C7D"/>
    <w:rsid w:val="549C4E11"/>
    <w:rsid w:val="5500558D"/>
    <w:rsid w:val="5502245D"/>
    <w:rsid w:val="552B5E58"/>
    <w:rsid w:val="55AC5BAC"/>
    <w:rsid w:val="55F95758"/>
    <w:rsid w:val="566429C6"/>
    <w:rsid w:val="571C5DFB"/>
    <w:rsid w:val="574E17BF"/>
    <w:rsid w:val="57D869BC"/>
    <w:rsid w:val="57DE6F09"/>
    <w:rsid w:val="589565BD"/>
    <w:rsid w:val="58E80EDC"/>
    <w:rsid w:val="597345C7"/>
    <w:rsid w:val="59E65E5D"/>
    <w:rsid w:val="5A187799"/>
    <w:rsid w:val="5AAE5A18"/>
    <w:rsid w:val="5ACC308A"/>
    <w:rsid w:val="5AE900E2"/>
    <w:rsid w:val="5B280EA8"/>
    <w:rsid w:val="5B7756EE"/>
    <w:rsid w:val="5C1979D0"/>
    <w:rsid w:val="5C905C5B"/>
    <w:rsid w:val="5CB52F1B"/>
    <w:rsid w:val="5D012C7D"/>
    <w:rsid w:val="5D4F3105"/>
    <w:rsid w:val="5D88711C"/>
    <w:rsid w:val="5D8F19D7"/>
    <w:rsid w:val="5E9E6153"/>
    <w:rsid w:val="5F4A40D7"/>
    <w:rsid w:val="5F69598C"/>
    <w:rsid w:val="5FE332FB"/>
    <w:rsid w:val="607E3094"/>
    <w:rsid w:val="60B75DDE"/>
    <w:rsid w:val="60BE4FE7"/>
    <w:rsid w:val="60E27AA8"/>
    <w:rsid w:val="611634A5"/>
    <w:rsid w:val="612918A9"/>
    <w:rsid w:val="617C202A"/>
    <w:rsid w:val="61831213"/>
    <w:rsid w:val="62347C4E"/>
    <w:rsid w:val="62413F68"/>
    <w:rsid w:val="62B216E9"/>
    <w:rsid w:val="6345665D"/>
    <w:rsid w:val="63A770E2"/>
    <w:rsid w:val="63CA32E4"/>
    <w:rsid w:val="64471ADD"/>
    <w:rsid w:val="644C3D97"/>
    <w:rsid w:val="646C6C3C"/>
    <w:rsid w:val="648E67A2"/>
    <w:rsid w:val="651506D2"/>
    <w:rsid w:val="65A278FC"/>
    <w:rsid w:val="65CA6060"/>
    <w:rsid w:val="660268CD"/>
    <w:rsid w:val="66A56C29"/>
    <w:rsid w:val="66B371D4"/>
    <w:rsid w:val="66C37535"/>
    <w:rsid w:val="680717F3"/>
    <w:rsid w:val="682F1ACF"/>
    <w:rsid w:val="69362F91"/>
    <w:rsid w:val="698862F8"/>
    <w:rsid w:val="698D49FA"/>
    <w:rsid w:val="6A306C00"/>
    <w:rsid w:val="6A474519"/>
    <w:rsid w:val="6A6C5876"/>
    <w:rsid w:val="6AA771B1"/>
    <w:rsid w:val="6AEA254C"/>
    <w:rsid w:val="6AED09DC"/>
    <w:rsid w:val="6B455019"/>
    <w:rsid w:val="6B4B7981"/>
    <w:rsid w:val="6B601BF6"/>
    <w:rsid w:val="6BC45F64"/>
    <w:rsid w:val="6BE14CAD"/>
    <w:rsid w:val="6C274467"/>
    <w:rsid w:val="6CF43C90"/>
    <w:rsid w:val="6CF92F8D"/>
    <w:rsid w:val="6E0372EE"/>
    <w:rsid w:val="6E5D1E06"/>
    <w:rsid w:val="6E824716"/>
    <w:rsid w:val="6ED834CA"/>
    <w:rsid w:val="6F061E4E"/>
    <w:rsid w:val="6F12625C"/>
    <w:rsid w:val="6F143855"/>
    <w:rsid w:val="6F4340C1"/>
    <w:rsid w:val="6F6B74BC"/>
    <w:rsid w:val="6F8F25CF"/>
    <w:rsid w:val="6FDD6DBB"/>
    <w:rsid w:val="6FFA149E"/>
    <w:rsid w:val="70014B1D"/>
    <w:rsid w:val="70176D8A"/>
    <w:rsid w:val="70BE737E"/>
    <w:rsid w:val="70C44612"/>
    <w:rsid w:val="717F10F4"/>
    <w:rsid w:val="718D4783"/>
    <w:rsid w:val="719D6E74"/>
    <w:rsid w:val="71BA461C"/>
    <w:rsid w:val="71F13376"/>
    <w:rsid w:val="7215163A"/>
    <w:rsid w:val="726A0820"/>
    <w:rsid w:val="72F2709B"/>
    <w:rsid w:val="72F7346D"/>
    <w:rsid w:val="730A718B"/>
    <w:rsid w:val="732E1E62"/>
    <w:rsid w:val="736F1136"/>
    <w:rsid w:val="73EE3506"/>
    <w:rsid w:val="74035473"/>
    <w:rsid w:val="741D2E7E"/>
    <w:rsid w:val="742142D2"/>
    <w:rsid w:val="74265207"/>
    <w:rsid w:val="748E6692"/>
    <w:rsid w:val="74A46CC4"/>
    <w:rsid w:val="74A9368D"/>
    <w:rsid w:val="74B10C4E"/>
    <w:rsid w:val="754D3DC6"/>
    <w:rsid w:val="76BE2504"/>
    <w:rsid w:val="76D877A5"/>
    <w:rsid w:val="776039FA"/>
    <w:rsid w:val="778426EF"/>
    <w:rsid w:val="77985985"/>
    <w:rsid w:val="77C54F50"/>
    <w:rsid w:val="77DD088D"/>
    <w:rsid w:val="78686335"/>
    <w:rsid w:val="78B05C1C"/>
    <w:rsid w:val="78DF275E"/>
    <w:rsid w:val="79064CC7"/>
    <w:rsid w:val="791B1290"/>
    <w:rsid w:val="79835B3C"/>
    <w:rsid w:val="79BD5CBD"/>
    <w:rsid w:val="7A131FEE"/>
    <w:rsid w:val="7A1965D9"/>
    <w:rsid w:val="7A464188"/>
    <w:rsid w:val="7A7F1CDE"/>
    <w:rsid w:val="7A804EF5"/>
    <w:rsid w:val="7AB4574A"/>
    <w:rsid w:val="7AC16056"/>
    <w:rsid w:val="7AF34D76"/>
    <w:rsid w:val="7AF652A1"/>
    <w:rsid w:val="7B6E4C19"/>
    <w:rsid w:val="7BDE49B7"/>
    <w:rsid w:val="7BFB191A"/>
    <w:rsid w:val="7C237021"/>
    <w:rsid w:val="7C9F041E"/>
    <w:rsid w:val="7D205032"/>
    <w:rsid w:val="7D2B151D"/>
    <w:rsid w:val="7D5F6DF7"/>
    <w:rsid w:val="7ED30E55"/>
    <w:rsid w:val="7F1F1D47"/>
    <w:rsid w:val="7FA4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5">
    <w:name w:val="Normal Indent"/>
    <w:basedOn w:val="1"/>
    <w:link w:val="17"/>
    <w:semiHidden/>
    <w:unhideWhenUsed/>
    <w:qFormat/>
    <w:uiPriority w:val="99"/>
    <w:pPr>
      <w:ind w:firstLine="420" w:firstLineChars="200"/>
    </w:pPr>
    <w:rPr>
      <w:szCs w:val="24"/>
    </w:rPr>
  </w:style>
  <w:style w:type="paragraph" w:styleId="6">
    <w:name w:val="Body Text Indent 2"/>
    <w:basedOn w:val="1"/>
    <w:qFormat/>
    <w:uiPriority w:val="0"/>
    <w:pPr>
      <w:spacing w:after="120" w:line="480" w:lineRule="auto"/>
      <w:ind w:left="420" w:leftChars="200"/>
    </w:pPr>
    <w:rPr>
      <w:rFonts w:ascii="Times New Roman" w:hAnsi="Times New Roman"/>
      <w:szCs w:val="24"/>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3">
    <w:name w:val="List Paragraph"/>
    <w:basedOn w:val="1"/>
    <w:qFormat/>
    <w:uiPriority w:val="99"/>
    <w:pPr>
      <w:ind w:firstLine="420" w:firstLineChars="200"/>
    </w:p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标题 1 Char"/>
    <w:basedOn w:val="12"/>
    <w:link w:val="3"/>
    <w:qFormat/>
    <w:uiPriority w:val="0"/>
    <w:rPr>
      <w:rFonts w:ascii="Times New Roman" w:hAnsi="Times New Roman" w:eastAsia="楷体_GB2312" w:cs="Times New Roman"/>
      <w:b/>
      <w:kern w:val="44"/>
      <w:sz w:val="44"/>
      <w:szCs w:val="20"/>
    </w:rPr>
  </w:style>
  <w:style w:type="character" w:customStyle="1" w:styleId="17">
    <w:name w:val="正文缩进 Char"/>
    <w:link w:val="5"/>
    <w:semiHidden/>
    <w:qFormat/>
    <w:locked/>
    <w:uiPriority w:val="99"/>
    <w:rPr>
      <w:szCs w:val="24"/>
    </w:rPr>
  </w:style>
  <w:style w:type="character" w:customStyle="1" w:styleId="18">
    <w:name w:val="font51"/>
    <w:basedOn w:val="12"/>
    <w:qFormat/>
    <w:uiPriority w:val="0"/>
    <w:rPr>
      <w:rFonts w:hint="eastAsia" w:ascii="宋体" w:hAnsi="宋体" w:eastAsia="宋体" w:cs="宋体"/>
      <w:b/>
      <w:bCs/>
      <w:color w:val="000000"/>
      <w:sz w:val="20"/>
      <w:szCs w:val="20"/>
      <w:u w:val="none"/>
    </w:rPr>
  </w:style>
  <w:style w:type="character" w:customStyle="1" w:styleId="19">
    <w:name w:val="font71"/>
    <w:basedOn w:val="12"/>
    <w:qFormat/>
    <w:uiPriority w:val="0"/>
    <w:rPr>
      <w:rFonts w:ascii="Arial" w:hAnsi="Arial" w:cs="Arial"/>
      <w:b/>
      <w:bCs/>
      <w:color w:val="000000"/>
      <w:sz w:val="20"/>
      <w:szCs w:val="20"/>
      <w:u w:val="none"/>
    </w:rPr>
  </w:style>
  <w:style w:type="paragraph" w:customStyle="1" w:styleId="20">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1">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3">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4">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18</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2022-11-15T03:42:00Z</cp:lastPrinted>
  <dcterms:modified xsi:type="dcterms:W3CDTF">2023-07-07T07:06:54Z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D7FAA9E6752C4CD3A54B5C1537136C2C</vt:lpwstr>
  </property>
</Properties>
</file>