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混凝土路面砖、混凝土侧石等采购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混凝土路面砖、混凝土侧石等采购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为满足工程建设需要，需采购共4项材料；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95412.42元（数量按实结算）；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1、 </w:t>
      </w:r>
      <w:r>
        <w:rPr>
          <w:rFonts w:hint="default" w:ascii="新宋体" w:hAnsi="新宋体" w:eastAsia="新宋体" w:cs="新宋体"/>
          <w:sz w:val="21"/>
          <w:szCs w:val="21"/>
          <w:highlight w:val="none"/>
          <w:lang w:val="en-US" w:eastAsia="zh-CN"/>
        </w:rPr>
        <w:t>6cm厚透水混凝土路面砖（含盲道板）（6*10*20），符合GB/T 25993-2010透水路面砖和透水路面板规范要求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w:t>
      </w:r>
      <w:r>
        <w:rPr>
          <w:rFonts w:hint="default" w:ascii="新宋体" w:hAnsi="新宋体" w:eastAsia="新宋体" w:cs="新宋体"/>
          <w:sz w:val="21"/>
          <w:szCs w:val="21"/>
          <w:highlight w:val="none"/>
          <w:lang w:val="en-US" w:eastAsia="zh-CN"/>
        </w:rPr>
        <w:t>12*27.5 C30混凝土侧石，抗折强度达到5.0MPa，抗压强度达到Cc35MPa，其他指标符合JC 899-2016混凝土路缘石一等品标准要求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3、12.5*30 C30混凝土平石，</w:t>
      </w:r>
      <w:r>
        <w:rPr>
          <w:rFonts w:hint="default" w:ascii="新宋体" w:hAnsi="新宋体" w:eastAsia="新宋体" w:cs="新宋体"/>
          <w:sz w:val="21"/>
          <w:szCs w:val="21"/>
          <w:highlight w:val="none"/>
          <w:lang w:val="en-US" w:eastAsia="zh-CN"/>
        </w:rPr>
        <w:t>抗折强度达到5.0MPa，抗压强度达到Cc35MPa，其他指标符合JC 899-2016混凝土路缘石一等品标准要求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eastAsia"/>
          <w:lang w:val="en-US" w:eastAsia="zh-CN"/>
        </w:rPr>
      </w:pPr>
      <w:r>
        <w:rPr>
          <w:rFonts w:hint="eastAsia" w:ascii="新宋体" w:hAnsi="新宋体" w:eastAsia="新宋体" w:cs="新宋体"/>
          <w:sz w:val="21"/>
          <w:szCs w:val="21"/>
          <w:highlight w:val="none"/>
          <w:lang w:val="en-US" w:eastAsia="zh-CN"/>
        </w:rPr>
        <w:t>4、12.5*20 C30混凝土插边石</w:t>
      </w:r>
      <w:r>
        <w:rPr>
          <w:rFonts w:hint="default" w:ascii="新宋体" w:hAnsi="新宋体" w:eastAsia="新宋体" w:cs="新宋体"/>
          <w:sz w:val="21"/>
          <w:szCs w:val="21"/>
          <w:highlight w:val="none"/>
          <w:lang w:val="en-US" w:eastAsia="zh-CN"/>
        </w:rPr>
        <w:t>，抗折强度达到5.0MPa，抗压强度达到Cc35MPa，其他指标符合JC 899-2016混凝土路缘石一等品标准要求</w:t>
      </w:r>
      <w:r>
        <w:rPr>
          <w:rFonts w:hint="eastAsia" w:ascii="新宋体" w:hAnsi="新宋体" w:eastAsia="新宋体" w:cs="新宋体"/>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2023年7月24日至7月31日（具体以现场通知为准）。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24</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下午14:30前，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yellow"/>
          <w:lang w:eastAsia="zh-CN"/>
        </w:rPr>
      </w:pPr>
      <w:r>
        <w:rPr>
          <w:rFonts w:hint="eastAsia" w:ascii="新宋体" w:hAnsi="新宋体" w:eastAsia="新宋体" w:cs="新宋体"/>
          <w:color w:val="000000"/>
          <w:sz w:val="21"/>
          <w:szCs w:val="21"/>
          <w:highlight w:val="none"/>
          <w:lang w:val="en-US" w:eastAsia="zh-CN"/>
        </w:rPr>
        <w:t>8、付款方式：</w:t>
      </w:r>
      <w:r>
        <w:rPr>
          <w:rFonts w:hint="eastAsia" w:ascii="新宋体" w:hAnsi="新宋体" w:eastAsia="新宋体" w:cs="新宋体"/>
          <w:color w:val="000000"/>
          <w:sz w:val="21"/>
          <w:szCs w:val="21"/>
          <w:highlight w:val="none"/>
          <w:lang w:eastAsia="zh-CN"/>
        </w:rPr>
        <w:t>材料经验收检测合格后付</w:t>
      </w:r>
      <w:r>
        <w:rPr>
          <w:rFonts w:hint="eastAsia" w:ascii="新宋体" w:hAnsi="新宋体" w:eastAsia="新宋体" w:cs="新宋体"/>
          <w:color w:val="000000"/>
          <w:sz w:val="21"/>
          <w:szCs w:val="21"/>
          <w:highlight w:val="none"/>
          <w:lang w:val="en-US" w:eastAsia="zh-CN"/>
        </w:rPr>
        <w:t>6</w:t>
      </w:r>
      <w:r>
        <w:rPr>
          <w:rFonts w:hint="eastAsia" w:ascii="新宋体" w:hAnsi="新宋体" w:eastAsia="新宋体" w:cs="新宋体"/>
          <w:color w:val="000000"/>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color w:val="000000"/>
          <w:sz w:val="21"/>
          <w:szCs w:val="21"/>
          <w:highlight w:val="none"/>
          <w:lang w:val="en-US" w:eastAsia="zh-CN"/>
        </w:rPr>
        <w:t>13%</w:t>
      </w:r>
      <w:r>
        <w:rPr>
          <w:rFonts w:hint="eastAsia" w:ascii="新宋体" w:hAnsi="新宋体" w:eastAsia="新宋体" w:cs="新宋体"/>
          <w:color w:val="000000"/>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18</w:t>
      </w:r>
      <w:bookmarkStart w:id="0" w:name="_GoBack"/>
      <w:bookmarkEnd w:id="0"/>
      <w:r>
        <w:rPr>
          <w:rFonts w:hint="eastAsia" w:ascii="新宋体" w:hAnsi="新宋体" w:eastAsia="新宋体" w:cs="新宋体"/>
          <w:sz w:val="21"/>
          <w:szCs w:val="21"/>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4"/>
        <w:gridCol w:w="1174"/>
        <w:gridCol w:w="158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6CM厚透水混凝土路面砖（含盲道板）（6*10*20）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874.19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12*27.5 C30混凝土侧石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588.5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12.5*30 C30混凝土平石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588.5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12.5*20 C30混凝土插边石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569.7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rPr>
      </w:pP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line="400" w:lineRule="exact"/>
        <w:rPr>
          <w:rFonts w:hint="default" w:eastAsia="仿宋_GB2312"/>
          <w:sz w:val="28"/>
          <w:szCs w:val="28"/>
          <w:lang w:val="en-US" w:eastAsia="zh-CN"/>
        </w:rPr>
      </w:pPr>
    </w:p>
    <w:p>
      <w:pPr>
        <w:spacing w:before="120" w:beforeLines="50" w:after="120" w:afterLines="50"/>
        <w:jc w:val="both"/>
        <w:rPr>
          <w:rFonts w:eastAsia="黑体"/>
          <w:sz w:val="28"/>
          <w:szCs w:val="28"/>
          <w:highlight w:val="none"/>
        </w:rPr>
      </w:pPr>
    </w:p>
    <w:p>
      <w:pPr>
        <w:spacing w:before="120" w:beforeLines="50" w:after="120" w:afterLines="50"/>
        <w:jc w:val="both"/>
        <w:rPr>
          <w:rFonts w:eastAsia="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ind w:left="0" w:leftChars="0" w:firstLine="0" w:firstLineChars="0"/>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EC66E0"/>
    <w:rsid w:val="08204E54"/>
    <w:rsid w:val="09AF5ECF"/>
    <w:rsid w:val="0A32376B"/>
    <w:rsid w:val="0A3959D1"/>
    <w:rsid w:val="0A7975FC"/>
    <w:rsid w:val="0AD638E3"/>
    <w:rsid w:val="0B2179B5"/>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066E94"/>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4B3C62"/>
    <w:rsid w:val="549D67BA"/>
    <w:rsid w:val="54B87E29"/>
    <w:rsid w:val="55B66130"/>
    <w:rsid w:val="57460AC2"/>
    <w:rsid w:val="57651399"/>
    <w:rsid w:val="57C257C8"/>
    <w:rsid w:val="57C8022A"/>
    <w:rsid w:val="583558C1"/>
    <w:rsid w:val="58480237"/>
    <w:rsid w:val="592335E5"/>
    <w:rsid w:val="59CA7788"/>
    <w:rsid w:val="59E1299B"/>
    <w:rsid w:val="59F90378"/>
    <w:rsid w:val="5A59057A"/>
    <w:rsid w:val="5AAB75B9"/>
    <w:rsid w:val="5C6427BE"/>
    <w:rsid w:val="5C8F57E8"/>
    <w:rsid w:val="5DDE3802"/>
    <w:rsid w:val="5DEF2DEC"/>
    <w:rsid w:val="5E5178F8"/>
    <w:rsid w:val="5FCD1D80"/>
    <w:rsid w:val="5FF46CC2"/>
    <w:rsid w:val="6042072E"/>
    <w:rsid w:val="60761C28"/>
    <w:rsid w:val="621D4E4B"/>
    <w:rsid w:val="62F32D38"/>
    <w:rsid w:val="631A740A"/>
    <w:rsid w:val="6336277D"/>
    <w:rsid w:val="63C445C8"/>
    <w:rsid w:val="64285AC1"/>
    <w:rsid w:val="64417F62"/>
    <w:rsid w:val="650418B5"/>
    <w:rsid w:val="66067D9A"/>
    <w:rsid w:val="66AD0E93"/>
    <w:rsid w:val="679A69EC"/>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1997</Words>
  <Characters>2211</Characters>
  <Lines>13</Lines>
  <Paragraphs>3</Paragraphs>
  <TotalTime>0</TotalTime>
  <ScaleCrop>false</ScaleCrop>
  <LinksUpToDate>false</LinksUpToDate>
  <CharactersWithSpaces>2752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2023-05-09T08:34:00Z</cp:lastPrinted>
  <dcterms:modified xsi:type="dcterms:W3CDTF">2023-07-18T07:08:55Z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