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锅炉水处理</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锅炉水处理</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8 </w:t>
      </w:r>
      <w:r>
        <w:rPr>
          <w:rFonts w:hint="eastAsia"/>
          <w:sz w:val="28"/>
          <w:szCs w:val="28"/>
          <w:highlight w:val="none"/>
        </w:rPr>
        <w:t>月</w:t>
      </w:r>
      <w:r>
        <w:rPr>
          <w:rFonts w:hint="eastAsia"/>
          <w:sz w:val="28"/>
          <w:szCs w:val="28"/>
          <w:highlight w:val="none"/>
          <w:lang w:val="en-US" w:eastAsia="zh-CN"/>
        </w:rPr>
        <w:t xml:space="preserve">  18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锅炉水处理</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锅炉水处理项目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32"/>
          <w:szCs w:val="32"/>
          <w:highlight w:val="yellow"/>
          <w:lang w:val="en-US" w:eastAsia="zh-CN"/>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b w:val="0"/>
          <w:bCs/>
          <w:color w:val="auto"/>
          <w:sz w:val="24"/>
          <w:szCs w:val="24"/>
          <w:highlight w:val="yellow"/>
        </w:rPr>
        <w:t>供应商近</w:t>
      </w:r>
      <w:r>
        <w:rPr>
          <w:rFonts w:hint="eastAsia" w:ascii="宋体" w:hAnsi="宋体" w:eastAsia="宋体" w:cs="宋体"/>
          <w:b w:val="0"/>
          <w:bCs/>
          <w:color w:val="auto"/>
          <w:sz w:val="24"/>
          <w:szCs w:val="24"/>
          <w:highlight w:val="yellow"/>
          <w:lang w:val="en-US" w:eastAsia="zh-CN"/>
        </w:rPr>
        <w:t>2</w:t>
      </w:r>
      <w:r>
        <w:rPr>
          <w:rFonts w:hint="eastAsia" w:ascii="宋体" w:hAnsi="宋体" w:eastAsia="宋体" w:cs="宋体"/>
          <w:b w:val="0"/>
          <w:bCs/>
          <w:color w:val="auto"/>
          <w:sz w:val="24"/>
          <w:szCs w:val="24"/>
          <w:highlight w:val="yellow"/>
        </w:rPr>
        <w:t>年（202</w:t>
      </w:r>
      <w:r>
        <w:rPr>
          <w:rFonts w:hint="eastAsia" w:ascii="宋体" w:hAnsi="宋体" w:eastAsia="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rPr>
        <w:t>年1月1日以后，以合同签订时间为准）以来具有</w:t>
      </w:r>
      <w:r>
        <w:rPr>
          <w:rFonts w:hint="eastAsia" w:ascii="宋体" w:hAnsi="宋体" w:eastAsia="宋体" w:cs="宋体"/>
          <w:b w:val="0"/>
          <w:bCs/>
          <w:color w:val="auto"/>
          <w:sz w:val="24"/>
          <w:szCs w:val="24"/>
          <w:highlight w:val="yellow"/>
          <w:lang w:val="en-US" w:eastAsia="zh-CN"/>
        </w:rPr>
        <w:t>类似水质处理</w:t>
      </w:r>
      <w:r>
        <w:rPr>
          <w:rFonts w:hint="eastAsia" w:ascii="宋体" w:hAnsi="宋体" w:eastAsia="宋体" w:cs="宋体"/>
          <w:b w:val="0"/>
          <w:bCs/>
          <w:color w:val="auto"/>
          <w:sz w:val="24"/>
          <w:szCs w:val="24"/>
          <w:highlight w:val="yellow"/>
        </w:rPr>
        <w:t>业绩</w:t>
      </w:r>
      <w:r>
        <w:rPr>
          <w:rFonts w:hint="eastAsia" w:ascii="宋体" w:hAnsi="宋体" w:eastAsia="宋体" w:cs="宋体"/>
          <w:b w:val="0"/>
          <w:bCs/>
          <w:color w:val="auto"/>
          <w:sz w:val="24"/>
          <w:szCs w:val="24"/>
          <w:highlight w:val="yellow"/>
          <w:lang w:eastAsia="zh-CN"/>
        </w:rPr>
        <w:t>（</w:t>
      </w:r>
      <w:r>
        <w:rPr>
          <w:rFonts w:hint="eastAsia" w:ascii="宋体" w:hAnsi="宋体" w:eastAsia="宋体" w:cs="宋体"/>
          <w:b w:val="0"/>
          <w:bCs/>
          <w:color w:val="auto"/>
          <w:sz w:val="24"/>
          <w:szCs w:val="24"/>
          <w:highlight w:val="yellow"/>
          <w:lang w:val="en-US" w:eastAsia="zh-CN"/>
        </w:rPr>
        <w:t>能同时提供相应的合同复印件及发票</w:t>
      </w:r>
      <w:r>
        <w:rPr>
          <w:rFonts w:hint="eastAsia" w:ascii="宋体" w:hAnsi="宋体" w:eastAsia="宋体" w:cs="宋体"/>
          <w:b w:val="0"/>
          <w:bCs/>
          <w:color w:val="auto"/>
          <w:sz w:val="24"/>
          <w:szCs w:val="24"/>
          <w:highlight w:val="yellow"/>
          <w:lang w:eastAsia="zh-CN"/>
        </w:rPr>
        <w:t>）</w:t>
      </w: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、锅炉系统</w:t>
      </w:r>
    </w:p>
    <w:p>
      <w:pPr>
        <w:keepNext w:val="0"/>
        <w:keepLines w:val="0"/>
        <w:pageBreakBefore w:val="0"/>
        <w:widowControl/>
        <w:kinsoku/>
        <w:wordWrap/>
        <w:overflowPunct/>
        <w:topLinePunct w:val="0"/>
        <w:autoSpaceDE/>
        <w:autoSpaceDN/>
        <w:bidi w:val="0"/>
        <w:spacing w:line="360" w:lineRule="auto"/>
        <w:ind w:firstLine="420" w:firstLineChars="200"/>
        <w:textAlignment w:val="auto"/>
        <w:outlineLvl w:val="9"/>
        <w:rPr>
          <w:rFonts w:hint="eastAsia" w:ascii="宋体" w:hAnsi="宋体" w:eastAsia="宋体" w:cs="宋体"/>
          <w:kern w:val="0"/>
          <w:sz w:val="21"/>
          <w:szCs w:val="21"/>
        </w:rPr>
      </w:pPr>
      <w:r>
        <w:rPr>
          <w:rFonts w:hint="eastAsia" w:ascii="宋体" w:hAnsi="宋体" w:eastAsia="宋体" w:cs="宋体"/>
          <w:sz w:val="21"/>
          <w:szCs w:val="21"/>
        </w:rPr>
        <w:t>滨江洲际酒店锅炉系统为新建的水循环系统，该系统以南通市政自来水为水源，其各系统参数如下：</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 热水锅炉系统：</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热水循环泵水流量：130m</w:t>
      </w:r>
      <w:r>
        <w:rPr>
          <w:rFonts w:hint="eastAsia" w:ascii="宋体" w:hAnsi="宋体" w:eastAsia="宋体" w:cs="宋体"/>
          <w:sz w:val="21"/>
          <w:szCs w:val="21"/>
          <w:vertAlign w:val="superscript"/>
        </w:rPr>
        <w:t>3</w:t>
      </w:r>
      <w:r>
        <w:rPr>
          <w:rFonts w:hint="eastAsia" w:ascii="宋体" w:hAnsi="宋体" w:eastAsia="宋体" w:cs="宋体"/>
          <w:sz w:val="21"/>
          <w:szCs w:val="21"/>
        </w:rPr>
        <w:t>/h×3（2用1备）。</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富尔顿热水锅炉：两台，一用一备。每台额定工作压力：1Mpa、额定功率：3.5MW。</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额定出水温度：95℃，额定进口温度≤70℃。</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保有水量：120m</w:t>
      </w:r>
      <w:r>
        <w:rPr>
          <w:rFonts w:hint="eastAsia" w:ascii="宋体" w:hAnsi="宋体" w:eastAsia="宋体" w:cs="宋体"/>
          <w:sz w:val="21"/>
          <w:szCs w:val="21"/>
          <w:vertAlign w:val="superscript"/>
        </w:rPr>
        <w:t>3</w:t>
      </w:r>
      <w:r>
        <w:rPr>
          <w:rFonts w:hint="eastAsia" w:ascii="宋体" w:hAnsi="宋体" w:eastAsia="宋体" w:cs="宋体"/>
          <w:sz w:val="21"/>
          <w:szCs w:val="21"/>
        </w:rPr>
        <w:t>，全年运行时间：12小时/天，300天/年。</w:t>
      </w:r>
    </w:p>
    <w:p>
      <w:pPr>
        <w:keepNext w:val="0"/>
        <w:keepLines w:val="0"/>
        <w:pageBreakBefore w:val="0"/>
        <w:numPr>
          <w:ilvl w:val="0"/>
          <w:numId w:val="1"/>
        </w:numPr>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蒸汽锅炉系统：</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富尔顿蒸汽锅炉：两台，一用一备。每台额定蒸发量2.0T/H，日均蒸汽产量约30T/天。</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冷凝水温度：80-90℃，冷凝水回收。</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全自动离子交换器：一套钠离子交换。</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管路管材：碳钢管、铜管。</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锅炉补水为回收的冷凝水和软化水的混合水。</w:t>
      </w:r>
    </w:p>
    <w:p>
      <w:pPr>
        <w:keepNext w:val="0"/>
        <w:keepLines w:val="0"/>
        <w:pageBreakBefore w:val="0"/>
        <w:widowControl/>
        <w:shd w:val="clear" w:color="auto" w:fill="FFFFFF"/>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、锅炉水处理服务及水质要求</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在锅炉运行或停炉期间，全面提供水处理方面的技术支持，包括培训水处理操作人员，保证熟练掌握水质检验。</w:t>
      </w:r>
    </w:p>
    <w:p>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根据运行需要，负责提供锅炉水处</w:t>
      </w:r>
      <w:r>
        <w:rPr>
          <w:rFonts w:hint="eastAsia" w:ascii="宋体" w:hAnsi="宋体" w:eastAsia="宋体" w:cs="宋体"/>
          <w:sz w:val="21"/>
          <w:szCs w:val="21"/>
          <w:lang w:eastAsia="zh-CN"/>
        </w:rPr>
        <w:t>理相适应的</w:t>
      </w:r>
      <w:r>
        <w:rPr>
          <w:rFonts w:hint="eastAsia" w:ascii="宋体" w:hAnsi="宋体" w:eastAsia="宋体" w:cs="宋体"/>
          <w:sz w:val="21"/>
          <w:szCs w:val="21"/>
        </w:rPr>
        <w:t>药剂。</w:t>
      </w:r>
      <w:r>
        <w:rPr>
          <w:rFonts w:hint="eastAsia" w:ascii="宋体" w:hAnsi="宋体" w:eastAsia="宋体" w:cs="宋体"/>
          <w:sz w:val="21"/>
          <w:szCs w:val="21"/>
          <w:lang w:val="en-US" w:eastAsia="zh-CN"/>
        </w:rPr>
        <w:t>若招标方的锅炉在锅检所检验中发现由于水质不合格造成的检验不通过和任何水质问题，均有投标方负责处理。</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运行期间派专业人员上门负责调试加药泵，指导用药量。</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若有异常情况随叫随到，正常情况下，两周一次现场检测水质，检验水质是否达到锅炉水质要求。</w:t>
      </w: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锅炉的特点及本地水质情况，结合国内外有关标准，锅炉系统水质指标控制如下：</w:t>
      </w:r>
    </w:p>
    <w:tbl>
      <w:tblPr>
        <w:tblStyle w:val="13"/>
        <w:tblW w:w="7448" w:type="dxa"/>
        <w:jc w:val="center"/>
        <w:tblInd w:w="0" w:type="dxa"/>
        <w:tblLayout w:type="fixed"/>
        <w:tblCellMar>
          <w:top w:w="15" w:type="dxa"/>
          <w:left w:w="15" w:type="dxa"/>
          <w:bottom w:w="15" w:type="dxa"/>
          <w:right w:w="15" w:type="dxa"/>
        </w:tblCellMar>
      </w:tblPr>
      <w:tblGrid>
        <w:gridCol w:w="1810"/>
        <w:gridCol w:w="1130"/>
        <w:gridCol w:w="1325"/>
        <w:gridCol w:w="1420"/>
        <w:gridCol w:w="1763"/>
      </w:tblGrid>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分析项目</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给水标准</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锅炉水标准</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冷凝水标准</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热水锅炉标准</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悬浮物NTU</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&lt;20.0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总硬度mmol/L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&lt;0.03</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&lt;0.03</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&lt;6.0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P碱度mmol/L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6.0～18.0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M碱度mmol/L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8.0～26.0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pH值</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7.0～10.0</w:t>
            </w: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10.0～12.0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7.0～10.0</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9.0～11.0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电导率μs/cm</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&lt;6000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&lt;4500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溶解固形物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运行&lt;4000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氯离子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运行&lt;800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＜500</w:t>
            </w: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r>
              <w:rPr>
                <w:rFonts w:hint="eastAsia" w:ascii="宋体" w:hAnsi="宋体" w:eastAsia="宋体" w:cs="宋体"/>
                <w:sz w:val="21"/>
                <w:szCs w:val="21"/>
              </w:rPr>
              <w:t>铁离子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8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&lt;0.5</w:t>
            </w: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80" w:lineRule="atLeast"/>
              <w:jc w:val="center"/>
              <w:rPr>
                <w:rFonts w:hint="eastAsia" w:ascii="宋体" w:hAnsi="宋体" w:eastAsia="宋体" w:cs="宋体"/>
                <w:sz w:val="21"/>
                <w:szCs w:val="21"/>
              </w:rPr>
            </w:pPr>
          </w:p>
        </w:tc>
      </w:tr>
      <w:tr>
        <w:tblPrEx>
          <w:tblLayout w:type="fixed"/>
          <w:tblCellMar>
            <w:top w:w="15" w:type="dxa"/>
            <w:left w:w="15" w:type="dxa"/>
            <w:bottom w:w="15" w:type="dxa"/>
            <w:right w:w="15" w:type="dxa"/>
          </w:tblCellMar>
        </w:tblPrEx>
        <w:trPr>
          <w:trHeight w:val="340" w:hRule="exact"/>
          <w:jc w:val="center"/>
        </w:trPr>
        <w:tc>
          <w:tcPr>
            <w:tcW w:w="1810" w:type="dxa"/>
            <w:tcBorders>
              <w:top w:val="single" w:color="000000" w:sz="8" w:space="0"/>
              <w:left w:val="single" w:color="000000" w:sz="8" w:space="0"/>
              <w:bottom w:val="single" w:color="000000" w:sz="8" w:space="0"/>
              <w:right w:val="single" w:color="000000" w:sz="8" w:space="0"/>
            </w:tcBorders>
            <w:vAlign w:val="top"/>
          </w:tcPr>
          <w:p>
            <w:pPr>
              <w:spacing w:line="320" w:lineRule="atLeast"/>
              <w:jc w:val="center"/>
              <w:rPr>
                <w:rFonts w:hint="eastAsia" w:ascii="宋体" w:hAnsi="宋体" w:eastAsia="宋体" w:cs="宋体"/>
                <w:sz w:val="21"/>
                <w:szCs w:val="21"/>
              </w:rPr>
            </w:pPr>
            <w:r>
              <w:rPr>
                <w:rFonts w:hint="eastAsia" w:ascii="宋体" w:hAnsi="宋体" w:eastAsia="宋体" w:cs="宋体"/>
                <w:sz w:val="21"/>
                <w:szCs w:val="21"/>
              </w:rPr>
              <w:t>PO</w:t>
            </w:r>
            <w:r>
              <w:rPr>
                <w:rFonts w:hint="eastAsia" w:ascii="宋体" w:hAnsi="宋体" w:eastAsia="宋体" w:cs="宋体"/>
                <w:sz w:val="21"/>
                <w:szCs w:val="21"/>
                <w:vertAlign w:val="subscript"/>
              </w:rPr>
              <w:t>4</w:t>
            </w:r>
            <w:r>
              <w:rPr>
                <w:rFonts w:hint="eastAsia" w:ascii="宋体" w:hAnsi="宋体" w:eastAsia="宋体" w:cs="宋体"/>
                <w:sz w:val="21"/>
                <w:szCs w:val="21"/>
                <w:vertAlign w:val="superscript"/>
              </w:rPr>
              <w:t>3-</w:t>
            </w:r>
            <w:r>
              <w:rPr>
                <w:rFonts w:hint="eastAsia" w:ascii="宋体" w:hAnsi="宋体" w:eastAsia="宋体" w:cs="宋体"/>
                <w:sz w:val="21"/>
                <w:szCs w:val="21"/>
              </w:rPr>
              <w:t xml:space="preserve"> mg/L</w:t>
            </w:r>
          </w:p>
        </w:tc>
        <w:tc>
          <w:tcPr>
            <w:tcW w:w="1130"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p>
        </w:tc>
        <w:tc>
          <w:tcPr>
            <w:tcW w:w="1325" w:type="dxa"/>
            <w:tcBorders>
              <w:top w:val="single" w:color="000000" w:sz="8" w:space="0"/>
              <w:left w:val="single" w:color="000000" w:sz="8" w:space="0"/>
              <w:bottom w:val="single" w:color="000000" w:sz="8" w:space="0"/>
              <w:right w:val="single" w:color="000000" w:sz="8" w:space="0"/>
            </w:tcBorders>
            <w:vAlign w:val="top"/>
          </w:tcPr>
          <w:p>
            <w:pPr>
              <w:spacing w:line="320" w:lineRule="atLeast"/>
              <w:jc w:val="center"/>
              <w:rPr>
                <w:rFonts w:hint="eastAsia" w:ascii="宋体" w:hAnsi="宋体" w:eastAsia="宋体" w:cs="宋体"/>
                <w:sz w:val="21"/>
                <w:szCs w:val="21"/>
              </w:rPr>
            </w:pPr>
            <w:r>
              <w:rPr>
                <w:rFonts w:hint="eastAsia" w:ascii="宋体" w:hAnsi="宋体" w:eastAsia="宋体" w:cs="宋体"/>
                <w:sz w:val="21"/>
                <w:szCs w:val="21"/>
              </w:rPr>
              <w:t>运行10～30</w:t>
            </w:r>
          </w:p>
        </w:tc>
        <w:tc>
          <w:tcPr>
            <w:tcW w:w="1420"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p>
        </w:tc>
        <w:tc>
          <w:tcPr>
            <w:tcW w:w="1763" w:type="dxa"/>
            <w:tcBorders>
              <w:top w:val="single" w:color="000000" w:sz="8" w:space="0"/>
              <w:left w:val="single" w:color="000000" w:sz="8" w:space="0"/>
              <w:bottom w:val="single" w:color="000000" w:sz="8" w:space="0"/>
              <w:right w:val="single" w:color="000000" w:sz="8" w:space="0"/>
            </w:tcBorders>
            <w:vAlign w:val="top"/>
          </w:tcPr>
          <w:p>
            <w:pPr>
              <w:spacing w:line="195" w:lineRule="atLeast"/>
              <w:jc w:val="center"/>
              <w:rPr>
                <w:rFonts w:hint="eastAsia" w:ascii="宋体" w:hAnsi="宋体" w:eastAsia="宋体" w:cs="宋体"/>
                <w:sz w:val="21"/>
                <w:szCs w:val="21"/>
              </w:rPr>
            </w:pPr>
            <w:r>
              <w:rPr>
                <w:rFonts w:hint="eastAsia" w:ascii="宋体" w:hAnsi="宋体" w:eastAsia="宋体" w:cs="宋体"/>
                <w:sz w:val="21"/>
                <w:szCs w:val="21"/>
              </w:rPr>
              <w:t>10～50</w:t>
            </w:r>
          </w:p>
        </w:tc>
      </w:tr>
    </w:tbl>
    <w:p>
      <w:pPr>
        <w:keepNext w:val="0"/>
        <w:keepLines w:val="0"/>
        <w:pageBreakBefore w:val="0"/>
        <w:tabs>
          <w:tab w:val="left" w:pos="3045"/>
          <w:tab w:val="left" w:pos="3169"/>
        </w:tabs>
        <w:kinsoku/>
        <w:wordWrap/>
        <w:overflowPunct/>
        <w:topLinePunct w:val="0"/>
        <w:autoSpaceDE/>
        <w:autoSpaceDN/>
        <w:bidi w:val="0"/>
        <w:adjustRightInd/>
        <w:spacing w:line="360" w:lineRule="auto"/>
        <w:jc w:val="left"/>
        <w:textAlignment w:val="auto"/>
        <w:rPr>
          <w:rFonts w:hint="default"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（6）每半年出一份有CMA资质的检测报告。</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锅炉水处理</w:t>
      </w:r>
      <w:r>
        <w:rPr>
          <w:rFonts w:hint="eastAsia" w:ascii="宋体" w:hAnsi="宋体" w:eastAsia="宋体" w:cs="宋体"/>
          <w:b w:val="0"/>
          <w:bCs/>
          <w:kern w:val="0"/>
          <w:sz w:val="21"/>
          <w:szCs w:val="21"/>
          <w:lang w:val="en-US" w:eastAsia="zh-CN"/>
        </w:rPr>
        <w:t>药品清单（一年）：</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(1) </w:t>
      </w:r>
      <w:r>
        <w:rPr>
          <w:rFonts w:hint="eastAsia" w:ascii="宋体" w:hAnsi="宋体" w:eastAsia="宋体" w:cs="宋体"/>
          <w:b w:val="0"/>
          <w:bCs/>
          <w:sz w:val="21"/>
          <w:szCs w:val="21"/>
        </w:rPr>
        <w:t>药品名称</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SFZ-1复合型阻垢缓蚀剂</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SFZ-4复合型阻垢缓蚀剂</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SFZ-5复合型阻垢缓蚀剂</w:t>
      </w:r>
    </w:p>
    <w:p>
      <w:pPr>
        <w:keepNext w:val="0"/>
        <w:keepLines w:val="0"/>
        <w:pageBreakBefore w:val="0"/>
        <w:numPr>
          <w:ilvl w:val="0"/>
          <w:numId w:val="3"/>
        </w:numPr>
        <w:kinsoku/>
        <w:wordWrap/>
        <w:overflowPunct/>
        <w:topLinePunct w:val="0"/>
        <w:autoSpaceDE/>
        <w:autoSpaceDN/>
        <w:bidi w:val="0"/>
        <w:adjustRightInd/>
        <w:spacing w:line="360" w:lineRule="auto"/>
        <w:ind w:left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年度锅炉水处理</w:t>
      </w:r>
      <w:r>
        <w:rPr>
          <w:rFonts w:hint="eastAsia" w:ascii="宋体" w:hAnsi="宋体" w:eastAsia="宋体" w:cs="宋体"/>
          <w:b w:val="0"/>
          <w:bCs/>
          <w:sz w:val="21"/>
          <w:szCs w:val="21"/>
          <w:lang w:val="en-US" w:eastAsia="zh-CN"/>
        </w:rPr>
        <w:t>药品</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药剂费用（一年）：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SFZ-1：</w:t>
      </w:r>
      <w:r>
        <w:rPr>
          <w:rFonts w:hint="eastAsia" w:ascii="宋体" w:hAnsi="宋体" w:eastAsia="宋体" w:cs="宋体"/>
          <w:b w:val="0"/>
          <w:bCs/>
          <w:color w:val="000000"/>
          <w:kern w:val="0"/>
          <w:sz w:val="21"/>
          <w:szCs w:val="21"/>
          <w:lang w:val="en-US" w:eastAsia="zh-CN"/>
        </w:rPr>
        <w:t>240kg</w:t>
      </w:r>
      <w:r>
        <w:rPr>
          <w:rFonts w:hint="eastAsia" w:ascii="宋体" w:hAnsi="宋体" w:eastAsia="宋体" w:cs="宋体"/>
          <w:b w:val="0"/>
          <w:bCs/>
          <w:color w:val="000000"/>
          <w:kern w:val="0"/>
          <w:sz w:val="21"/>
          <w:szCs w:val="21"/>
        </w:rPr>
        <w:t>/</w:t>
      </w:r>
      <w:r>
        <w:rPr>
          <w:rFonts w:hint="eastAsia" w:ascii="宋体" w:hAnsi="宋体" w:eastAsia="宋体" w:cs="宋体"/>
          <w:b w:val="0"/>
          <w:bCs/>
          <w:color w:val="000000"/>
          <w:kern w:val="0"/>
          <w:sz w:val="21"/>
          <w:szCs w:val="21"/>
          <w:lang w:eastAsia="zh-CN"/>
        </w:rPr>
        <w:t>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SFZ-4：</w:t>
      </w:r>
      <w:r>
        <w:rPr>
          <w:rFonts w:hint="eastAsia" w:ascii="宋体" w:hAnsi="宋体" w:eastAsia="宋体" w:cs="宋体"/>
          <w:b w:val="0"/>
          <w:bCs/>
          <w:color w:val="000000"/>
          <w:kern w:val="0"/>
          <w:sz w:val="21"/>
          <w:szCs w:val="21"/>
          <w:lang w:val="en-US" w:eastAsia="zh-CN"/>
        </w:rPr>
        <w:t>1250</w:t>
      </w:r>
      <w:r>
        <w:rPr>
          <w:rFonts w:hint="eastAsia" w:ascii="宋体" w:hAnsi="宋体" w:eastAsia="宋体" w:cs="宋体"/>
          <w:b w:val="0"/>
          <w:bCs/>
          <w:color w:val="000000"/>
          <w:kern w:val="0"/>
          <w:sz w:val="21"/>
          <w:szCs w:val="21"/>
        </w:rPr>
        <w:t>kg/</w:t>
      </w:r>
      <w:r>
        <w:rPr>
          <w:rFonts w:hint="eastAsia" w:ascii="宋体" w:hAnsi="宋体" w:eastAsia="宋体" w:cs="宋体"/>
          <w:b w:val="0"/>
          <w:bCs/>
          <w:color w:val="000000"/>
          <w:kern w:val="0"/>
          <w:sz w:val="21"/>
          <w:szCs w:val="21"/>
          <w:lang w:eastAsia="zh-CN"/>
        </w:rPr>
        <w:t>年</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SFZ-5：</w:t>
      </w:r>
      <w:r>
        <w:rPr>
          <w:rFonts w:hint="eastAsia" w:ascii="宋体" w:hAnsi="宋体" w:eastAsia="宋体" w:cs="宋体"/>
          <w:b w:val="0"/>
          <w:bCs/>
          <w:color w:val="000000"/>
          <w:kern w:val="0"/>
          <w:sz w:val="21"/>
          <w:szCs w:val="21"/>
          <w:lang w:val="en-US" w:eastAsia="zh-CN"/>
        </w:rPr>
        <w:t>48</w:t>
      </w:r>
      <w:r>
        <w:rPr>
          <w:rFonts w:hint="eastAsia" w:ascii="宋体" w:hAnsi="宋体" w:eastAsia="宋体" w:cs="宋体"/>
          <w:b w:val="0"/>
          <w:bCs/>
          <w:color w:val="000000"/>
          <w:kern w:val="0"/>
          <w:sz w:val="21"/>
          <w:szCs w:val="21"/>
        </w:rPr>
        <w:t>0kg/</w:t>
      </w:r>
      <w:r>
        <w:rPr>
          <w:rFonts w:hint="eastAsia" w:ascii="宋体" w:hAnsi="宋体" w:eastAsia="宋体" w:cs="宋体"/>
          <w:b w:val="0"/>
          <w:bCs/>
          <w:color w:val="000000"/>
          <w:kern w:val="0"/>
          <w:sz w:val="21"/>
          <w:szCs w:val="21"/>
          <w:lang w:eastAsia="zh-CN"/>
        </w:rPr>
        <w:t>年</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）工业盐费用</w:t>
      </w:r>
      <w:r>
        <w:rPr>
          <w:rFonts w:hint="eastAsia" w:ascii="宋体" w:hAnsi="宋体" w:eastAsia="宋体" w:cs="宋体"/>
          <w:b w:val="0"/>
          <w:bCs/>
          <w:sz w:val="21"/>
          <w:szCs w:val="21"/>
          <w:lang w:eastAsia="zh-CN"/>
        </w:rPr>
        <w:t>（一年）</w:t>
      </w:r>
      <w:r>
        <w:rPr>
          <w:rFonts w:hint="eastAsia" w:ascii="宋体" w:hAnsi="宋体" w:eastAsia="宋体" w:cs="宋体"/>
          <w:b w:val="0"/>
          <w:bCs/>
          <w:sz w:val="21"/>
          <w:szCs w:val="21"/>
        </w:rPr>
        <w:t>：</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1.5</w:t>
      </w:r>
      <w:r>
        <w:rPr>
          <w:rFonts w:hint="eastAsia" w:ascii="宋体" w:hAnsi="宋体" w:eastAsia="宋体" w:cs="宋体"/>
          <w:b w:val="0"/>
          <w:bCs/>
          <w:sz w:val="21"/>
          <w:szCs w:val="21"/>
        </w:rPr>
        <w:t>吨</w:t>
      </w:r>
      <w:r>
        <w:rPr>
          <w:rFonts w:hint="eastAsia" w:ascii="宋体" w:hAnsi="宋体" w:eastAsia="宋体" w:cs="宋体"/>
          <w:b w:val="0"/>
          <w:bCs/>
          <w:sz w:val="21"/>
          <w:szCs w:val="21"/>
          <w:lang w:val="en-US" w:eastAsia="zh-CN"/>
        </w:rPr>
        <w:t>/季度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4季度=6吨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化验试剂</w:t>
      </w:r>
      <w:r>
        <w:rPr>
          <w:rFonts w:hint="eastAsia" w:ascii="宋体" w:hAnsi="宋体" w:eastAsia="宋体" w:cs="宋体"/>
          <w:b w:val="0"/>
          <w:bCs/>
          <w:sz w:val="21"/>
          <w:szCs w:val="21"/>
        </w:rPr>
        <w:t>费用</w:t>
      </w:r>
      <w:r>
        <w:rPr>
          <w:rFonts w:hint="eastAsia" w:ascii="宋体" w:hAnsi="宋体" w:eastAsia="宋体" w:cs="宋体"/>
          <w:b w:val="0"/>
          <w:bCs/>
          <w:sz w:val="21"/>
          <w:szCs w:val="21"/>
          <w:lang w:eastAsia="zh-CN"/>
        </w:rPr>
        <w:t>（免费</w:t>
      </w:r>
      <w:r>
        <w:rPr>
          <w:rFonts w:hint="eastAsia" w:ascii="宋体" w:hAnsi="宋体" w:eastAsia="宋体" w:cs="宋体"/>
          <w:b w:val="0"/>
          <w:bCs/>
          <w:sz w:val="21"/>
          <w:szCs w:val="21"/>
          <w:lang w:val="en-US" w:eastAsia="zh-CN"/>
        </w:rPr>
        <w:t>不限数量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硫酸标准溶液（1000ML/瓶）</w:t>
      </w:r>
    </w:p>
    <w:p>
      <w:pPr>
        <w:keepNext w:val="0"/>
        <w:keepLines w:val="0"/>
        <w:pageBreakBefore w:val="0"/>
        <w:numPr>
          <w:ilvl w:val="0"/>
          <w:numId w:val="2"/>
        </w:numPr>
        <w:tabs>
          <w:tab w:val="center" w:pos="4819"/>
        </w:tabs>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硝酸银标准溶液（500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酚酞指示剂（100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甲基橙指示剂（100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铬酸钾指示剂（100 ML/瓶）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硬度测试剂（软水硬度检测）</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大理石蝴蝶架</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三角烧杯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250ML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量筒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100ML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量筒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滴瓶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0ML</w:t>
      </w:r>
      <w:r>
        <w:rPr>
          <w:rFonts w:hint="eastAsia" w:ascii="宋体" w:hAnsi="宋体" w:eastAsia="宋体" w:cs="宋体"/>
          <w:b w:val="0"/>
          <w:bCs/>
          <w:sz w:val="21"/>
          <w:szCs w:val="21"/>
          <w:lang w:val="en-US" w:eastAsia="zh-CN"/>
        </w:rPr>
        <w:t>/个</w:t>
      </w:r>
      <w:r>
        <w:rPr>
          <w:rFonts w:hint="eastAsia" w:ascii="宋体" w:hAnsi="宋体" w:eastAsia="宋体" w:cs="宋体"/>
          <w:b w:val="0"/>
          <w:bCs/>
          <w:sz w:val="21"/>
          <w:szCs w:val="21"/>
          <w:lang w:eastAsia="zh-CN"/>
        </w:rPr>
        <w:t>）</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白色滴定管（25毫升）</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棕色滴定管（25毫升）</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洗耳球</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移液管（10毫升）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宋体" w:hAnsi="宋体" w:eastAsia="宋体" w:cs="宋体"/>
          <w:b w:val="0"/>
          <w:bCs/>
          <w:color w:val="000000"/>
          <w:sz w:val="21"/>
          <w:szCs w:val="21"/>
          <w:lang w:val="en-US" w:eastAsia="zh-CN"/>
        </w:rPr>
        <w:t>现场工作配备记录仪器，</w:t>
      </w:r>
      <w:r>
        <w:rPr>
          <w:rFonts w:hint="eastAsia" w:ascii="宋体" w:hAnsi="宋体" w:eastAsia="宋体" w:cs="宋体"/>
          <w:b w:val="0"/>
          <w:bCs/>
          <w:color w:val="000000"/>
          <w:sz w:val="21"/>
          <w:szCs w:val="21"/>
          <w:lang w:eastAsia="zh-CN"/>
        </w:rPr>
        <w:t>任何一次现场工作后出具相应的工作报告或运行建议书，</w:t>
      </w:r>
      <w:r>
        <w:rPr>
          <w:rFonts w:hint="eastAsia" w:ascii="宋体" w:hAnsi="宋体" w:eastAsia="宋体" w:cs="宋体"/>
          <w:b w:val="0"/>
          <w:bCs/>
          <w:color w:val="000000"/>
          <w:sz w:val="21"/>
          <w:szCs w:val="21"/>
          <w:lang w:val="en-US" w:eastAsia="zh-CN"/>
        </w:rPr>
        <w:t>由工程部相关</w:t>
      </w:r>
      <w:r>
        <w:rPr>
          <w:rFonts w:hint="eastAsia" w:ascii="宋体" w:hAnsi="宋体" w:eastAsia="宋体" w:cs="宋体"/>
          <w:b w:val="0"/>
          <w:bCs/>
          <w:color w:val="auto"/>
          <w:sz w:val="21"/>
          <w:szCs w:val="21"/>
          <w:lang w:val="en-US" w:eastAsia="zh-CN"/>
        </w:rPr>
        <w:t>负责人、工程总监（或运营总监）当日签字后有效，补签无效</w:t>
      </w:r>
      <w:r>
        <w:rPr>
          <w:rFonts w:hint="eastAsia" w:ascii="宋体" w:hAnsi="宋体" w:eastAsia="宋体" w:cs="宋体"/>
          <w:b w:val="0"/>
          <w:bCs/>
          <w:color w:val="auto"/>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涉及更换耗材、元件的检修，</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须在检修前备好全新耗材、元件经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确认后方可进行检修，检修中替换下来的旧耗材、元件需经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确认后方可处理。如未经</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确认擅自完成检修，</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对本次检修不予认可，每发生一次，</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需支付违约金1000</w:t>
      </w:r>
      <w:r>
        <w:rPr>
          <w:rFonts w:hint="eastAsia" w:asciiTheme="minorEastAsia" w:hAnsiTheme="minorEastAsia" w:cstheme="minorEastAsia"/>
          <w:color w:val="auto"/>
          <w:sz w:val="21"/>
          <w:szCs w:val="21"/>
          <w:lang w:val="en-US" w:eastAsia="zh-CN"/>
        </w:rPr>
        <w:t>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供应商须提供7×24小时免费服务，半小时内做出响应，1小时内应派专业技术人员到达现场提供免费咨询、</w:t>
      </w:r>
      <w:r>
        <w:rPr>
          <w:rFonts w:hint="eastAsia" w:asciiTheme="minorEastAsia" w:hAnsiTheme="minorEastAsia" w:cstheme="minorEastAsia"/>
          <w:color w:val="auto"/>
          <w:sz w:val="21"/>
          <w:szCs w:val="21"/>
          <w:lang w:val="en-US" w:eastAsia="zh-CN"/>
        </w:rPr>
        <w:t>维保</w:t>
      </w:r>
      <w:r>
        <w:rPr>
          <w:rFonts w:hint="eastAsia" w:asciiTheme="minorEastAsia" w:hAnsiTheme="minorEastAsia" w:eastAsiaTheme="minorEastAsia" w:cstheme="minorEastAsia"/>
          <w:color w:val="auto"/>
          <w:sz w:val="21"/>
          <w:szCs w:val="21"/>
        </w:rPr>
        <w:t>服务。如</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在服务期间未按项目需求进行服务，每发现一次处罚1000元，罚金从合同价款中扣除。如累计处罚金额达3000元，</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有权终止合同，如给</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造成经济损失，由</w:t>
      </w:r>
      <w:r>
        <w:rPr>
          <w:rFonts w:hint="eastAsia" w:asciiTheme="minorEastAsia" w:hAnsiTheme="minorEastAsia" w:cstheme="minorEastAsia"/>
          <w:color w:val="auto"/>
          <w:sz w:val="21"/>
          <w:szCs w:val="21"/>
          <w:lang w:val="en-US" w:eastAsia="zh-CN"/>
        </w:rPr>
        <w:t>投标方</w:t>
      </w:r>
      <w:r>
        <w:rPr>
          <w:rFonts w:hint="eastAsia" w:asciiTheme="minorEastAsia" w:hAnsiTheme="minorEastAsia" w:eastAsiaTheme="minorEastAsia" w:cstheme="minorEastAsia"/>
          <w:color w:val="auto"/>
          <w:sz w:val="21"/>
          <w:szCs w:val="21"/>
        </w:rPr>
        <w:t>进行赔偿。如属硬件故障原因而且24小时无法排除故障的，则应免费提供同等配置的备用设备以保证</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设备的正常运行。若未能在规定的时间内进行现场响应和解决设备问题的，</w:t>
      </w:r>
      <w:r>
        <w:rPr>
          <w:rFonts w:hint="eastAsia" w:asciiTheme="minorEastAsia" w:hAnsiTheme="minorEastAsia" w:cstheme="minorEastAsia"/>
          <w:color w:val="auto"/>
          <w:sz w:val="21"/>
          <w:szCs w:val="21"/>
          <w:lang w:val="en-US" w:eastAsia="zh-CN"/>
        </w:rPr>
        <w:t>招标人</w:t>
      </w:r>
      <w:r>
        <w:rPr>
          <w:rFonts w:hint="eastAsia" w:asciiTheme="minorEastAsia" w:hAnsiTheme="minorEastAsia" w:eastAsiaTheme="minorEastAsia" w:cstheme="minorEastAsia"/>
          <w:color w:val="auto"/>
          <w:sz w:val="21"/>
          <w:szCs w:val="21"/>
        </w:rPr>
        <w:t>采取一切措施所产生的费用和风险由中标供应商承担。</w:t>
      </w:r>
    </w:p>
    <w:p>
      <w:pPr>
        <w:pStyle w:val="6"/>
        <w:numPr>
          <w:ilvl w:val="0"/>
          <w:numId w:val="0"/>
        </w:numPr>
        <w:rPr>
          <w:rFonts w:hint="eastAsia"/>
          <w:color w:val="auto"/>
        </w:rPr>
      </w:pPr>
    </w:p>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napToGrid w:val="0"/>
        <w:spacing w:line="360" w:lineRule="auto"/>
        <w:ind w:firstLine="480" w:firstLineChars="200"/>
        <w:rPr>
          <w:rFonts w:hint="eastAsia" w:ascii="宋体" w:hAnsi="宋体" w:cs="宋体"/>
          <w:color w:val="000000"/>
          <w:kern w:val="0"/>
          <w:sz w:val="24"/>
          <w:szCs w:val="22"/>
          <w:lang w:val="en-US" w:eastAsia="zh-CN"/>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评标方式：</w:t>
      </w:r>
      <w:r>
        <w:rPr>
          <w:rFonts w:hint="eastAsia" w:ascii="宋体" w:hAnsi="宋体" w:cs="宋体"/>
          <w:color w:val="000000"/>
          <w:kern w:val="0"/>
          <w:sz w:val="24"/>
          <w:szCs w:val="22"/>
        </w:rPr>
        <w:t>采用</w:t>
      </w:r>
      <w:r>
        <w:rPr>
          <w:rFonts w:hint="eastAsia" w:ascii="宋体" w:hAnsi="宋体" w:cs="宋体"/>
          <w:color w:val="000000"/>
          <w:kern w:val="0"/>
          <w:sz w:val="24"/>
          <w:szCs w:val="22"/>
          <w:lang w:val="en-US" w:eastAsia="zh-CN"/>
        </w:rPr>
        <w:t>综合评分</w:t>
      </w:r>
      <w:r>
        <w:rPr>
          <w:rFonts w:hint="eastAsia" w:ascii="宋体" w:hAnsi="宋体" w:cs="宋体"/>
          <w:color w:val="000000"/>
          <w:kern w:val="0"/>
          <w:sz w:val="24"/>
          <w:szCs w:val="22"/>
        </w:rPr>
        <w:t>法，即满足招标文件要求且</w:t>
      </w:r>
      <w:r>
        <w:rPr>
          <w:rFonts w:hint="eastAsia" w:ascii="宋体" w:hAnsi="宋体" w:cs="宋体"/>
          <w:b/>
          <w:bCs/>
          <w:color w:val="000000"/>
          <w:kern w:val="0"/>
          <w:sz w:val="24"/>
          <w:szCs w:val="22"/>
          <w:lang w:val="en-US" w:eastAsia="zh-CN"/>
        </w:rPr>
        <w:t>综合得分</w:t>
      </w:r>
      <w:r>
        <w:rPr>
          <w:rFonts w:hint="eastAsia" w:ascii="宋体" w:hAnsi="宋体" w:cs="宋体"/>
          <w:color w:val="000000"/>
          <w:kern w:val="0"/>
          <w:sz w:val="24"/>
          <w:szCs w:val="22"/>
        </w:rPr>
        <w:t>最</w:t>
      </w:r>
      <w:r>
        <w:rPr>
          <w:rFonts w:hint="eastAsia" w:ascii="宋体" w:hAnsi="宋体" w:cs="宋体"/>
          <w:color w:val="000000"/>
          <w:kern w:val="0"/>
          <w:sz w:val="24"/>
          <w:szCs w:val="22"/>
          <w:lang w:val="en-US" w:eastAsia="zh-CN"/>
        </w:rPr>
        <w:t>高</w:t>
      </w:r>
      <w:r>
        <w:rPr>
          <w:rFonts w:hint="eastAsia" w:ascii="宋体" w:hAnsi="宋体" w:cs="宋体"/>
          <w:color w:val="000000"/>
          <w:kern w:val="0"/>
          <w:sz w:val="24"/>
          <w:szCs w:val="22"/>
        </w:rPr>
        <w:t>的供应商为第一中标候选人</w:t>
      </w:r>
      <w:r>
        <w:rPr>
          <w:rFonts w:hint="eastAsia" w:ascii="宋体" w:hAnsi="宋体" w:cs="宋体"/>
          <w:color w:val="000000"/>
          <w:kern w:val="0"/>
          <w:sz w:val="24"/>
          <w:szCs w:val="22"/>
          <w:lang w:eastAsia="zh-CN"/>
        </w:rPr>
        <w:t>，</w:t>
      </w:r>
      <w:r>
        <w:rPr>
          <w:rFonts w:hint="eastAsia" w:ascii="宋体" w:hAnsi="宋体" w:cs="宋体"/>
          <w:b/>
          <w:bCs/>
          <w:color w:val="000000"/>
          <w:kern w:val="0"/>
          <w:sz w:val="24"/>
          <w:szCs w:val="22"/>
          <w:lang w:val="en-US" w:eastAsia="zh-CN"/>
        </w:rPr>
        <w:t>综合得分=技术分+商务分；</w:t>
      </w:r>
      <w:r>
        <w:rPr>
          <w:rFonts w:hint="eastAsia" w:ascii="宋体" w:hAnsi="宋体" w:cs="宋体"/>
          <w:color w:val="000000"/>
          <w:kern w:val="0"/>
          <w:sz w:val="24"/>
          <w:szCs w:val="22"/>
          <w:lang w:val="en-US" w:eastAsia="zh-CN"/>
        </w:rPr>
        <w:t>具体评分细则如下：</w:t>
      </w:r>
    </w:p>
    <w:p>
      <w:pPr>
        <w:snapToGrid w:val="0"/>
        <w:spacing w:line="360" w:lineRule="auto"/>
        <w:ind w:firstLine="480" w:firstLineChars="200"/>
        <w:rPr>
          <w:rFonts w:hint="eastAsia" w:ascii="宋体" w:hAnsi="宋体" w:eastAsia="宋体"/>
          <w:sz w:val="22"/>
          <w:szCs w:val="22"/>
          <w:highlight w:val="none"/>
        </w:rPr>
      </w:pPr>
      <w:r>
        <w:rPr>
          <w:rFonts w:hint="eastAsia" w:ascii="宋体" w:hAnsi="宋体" w:cs="宋体"/>
          <w:color w:val="000000"/>
          <w:kern w:val="0"/>
          <w:sz w:val="24"/>
          <w:szCs w:val="22"/>
          <w:lang w:val="en-US" w:eastAsia="zh-CN"/>
        </w:rPr>
        <w:t>（1）</w:t>
      </w:r>
      <w:r>
        <w:rPr>
          <w:rFonts w:hint="eastAsia" w:ascii="宋体" w:hAnsi="宋体" w:eastAsia="宋体"/>
          <w:sz w:val="22"/>
          <w:szCs w:val="22"/>
          <w:highlight w:val="none"/>
        </w:rPr>
        <w:t>确定有效报价：投标报价低于招标控制价的为</w:t>
      </w:r>
      <w:r>
        <w:rPr>
          <w:rFonts w:hint="eastAsia" w:ascii="宋体" w:hAnsi="宋体" w:eastAsia="宋体"/>
          <w:b/>
          <w:bCs/>
          <w:sz w:val="22"/>
          <w:szCs w:val="22"/>
          <w:highlight w:val="none"/>
        </w:rPr>
        <w:t>有效报价</w:t>
      </w:r>
      <w:r>
        <w:rPr>
          <w:rFonts w:hint="eastAsia" w:ascii="宋体" w:hAnsi="宋体" w:eastAsia="宋体"/>
          <w:sz w:val="22"/>
          <w:szCs w:val="22"/>
          <w:highlight w:val="none"/>
        </w:rPr>
        <w:t>，高于或等于招标控制价的为</w:t>
      </w:r>
      <w:r>
        <w:rPr>
          <w:rFonts w:hint="eastAsia" w:ascii="宋体" w:hAnsi="宋体" w:eastAsia="宋体"/>
          <w:b/>
          <w:bCs/>
          <w:sz w:val="22"/>
          <w:szCs w:val="22"/>
          <w:highlight w:val="none"/>
        </w:rPr>
        <w:t>无效报价</w:t>
      </w:r>
      <w:r>
        <w:rPr>
          <w:rFonts w:hint="eastAsia" w:ascii="宋体" w:hAnsi="宋体" w:eastAsia="宋体"/>
          <w:sz w:val="22"/>
          <w:szCs w:val="22"/>
          <w:highlight w:val="none"/>
        </w:rPr>
        <w:t>,本项目招标控制价为：</w:t>
      </w:r>
      <w:r>
        <w:rPr>
          <w:rFonts w:hint="eastAsia" w:ascii="宋体" w:hAnsi="宋体" w:eastAsia="宋体"/>
          <w:b/>
          <w:bCs/>
          <w:sz w:val="22"/>
          <w:szCs w:val="22"/>
          <w:highlight w:val="none"/>
          <w:u w:val="single"/>
        </w:rPr>
        <w:t>￥</w:t>
      </w:r>
      <w:r>
        <w:rPr>
          <w:rFonts w:hint="eastAsia" w:ascii="宋体" w:hAnsi="宋体" w:eastAsia="宋体"/>
          <w:b/>
          <w:bCs/>
          <w:sz w:val="22"/>
          <w:szCs w:val="22"/>
          <w:highlight w:val="none"/>
          <w:u w:val="single"/>
          <w:lang w:val="en-US" w:eastAsia="zh-CN"/>
        </w:rPr>
        <w:t xml:space="preserve"> 6.2</w:t>
      </w:r>
      <w:r>
        <w:rPr>
          <w:rFonts w:hint="eastAsia" w:ascii="宋体" w:hAnsi="宋体" w:eastAsia="宋体"/>
          <w:b/>
          <w:bCs/>
          <w:sz w:val="22"/>
          <w:szCs w:val="22"/>
          <w:highlight w:val="none"/>
          <w:u w:val="single"/>
        </w:rPr>
        <w:t>万元</w:t>
      </w:r>
      <w:r>
        <w:rPr>
          <w:rFonts w:hint="eastAsia" w:ascii="宋体" w:hAnsi="宋体" w:eastAsia="宋体"/>
          <w:sz w:val="22"/>
          <w:szCs w:val="22"/>
          <w:highlight w:val="none"/>
        </w:rPr>
        <w:t>。</w:t>
      </w:r>
    </w:p>
    <w:p>
      <w:pPr>
        <w:pStyle w:val="9"/>
        <w:rPr>
          <w:rFonts w:hint="eastAsia"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评分规则：</w:t>
      </w:r>
    </w:p>
    <w:tbl>
      <w:tblPr>
        <w:tblStyle w:val="13"/>
        <w:tblpPr w:leftFromText="180" w:rightFromText="180" w:vertAnchor="text" w:horzAnchor="page" w:tblpXSpec="center" w:tblpY="395"/>
        <w:tblOverlap w:val="never"/>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982"/>
        <w:gridCol w:w="56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9149" w:type="dxa"/>
            <w:gridSpan w:val="4"/>
            <w:vAlign w:val="center"/>
          </w:tcPr>
          <w:p>
            <w:pPr>
              <w:jc w:val="center"/>
              <w:rPr>
                <w:rFonts w:hint="default" w:ascii="宋体" w:hAnsi="宋体" w:cs="宋体" w:eastAsiaTheme="minorEastAsia"/>
                <w:b w:val="0"/>
                <w:bCs/>
                <w:sz w:val="21"/>
                <w:szCs w:val="21"/>
                <w:lang w:val="en-US" w:eastAsia="zh-CN"/>
              </w:rPr>
            </w:pPr>
            <w:r>
              <w:rPr>
                <w:rFonts w:hint="eastAsia" w:ascii="宋体" w:hAnsi="宋体" w:cs="宋体"/>
                <w:b/>
                <w:bCs w:val="0"/>
                <w:sz w:val="36"/>
                <w:szCs w:val="36"/>
                <w:lang w:val="en-US" w:eastAsia="zh-CN"/>
              </w:rPr>
              <w:t>技术分评分（40分）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6" w:hRule="atLeast"/>
          <w:tblHeader/>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序号</w:t>
            </w:r>
          </w:p>
        </w:tc>
        <w:tc>
          <w:tcPr>
            <w:tcW w:w="982" w:type="dxa"/>
            <w:vAlign w:val="center"/>
          </w:tcPr>
          <w:p>
            <w:pPr>
              <w:jc w:val="center"/>
              <w:rPr>
                <w:rFonts w:ascii="宋体" w:hAnsi="宋体" w:cs="宋体"/>
                <w:b w:val="0"/>
                <w:bCs/>
                <w:sz w:val="21"/>
                <w:szCs w:val="21"/>
              </w:rPr>
            </w:pPr>
            <w:r>
              <w:rPr>
                <w:rFonts w:hint="eastAsia" w:ascii="宋体" w:hAnsi="宋体" w:cs="宋体"/>
                <w:b w:val="0"/>
                <w:bCs/>
                <w:sz w:val="21"/>
                <w:szCs w:val="21"/>
              </w:rPr>
              <w:t>评分内容</w:t>
            </w:r>
          </w:p>
        </w:tc>
        <w:tc>
          <w:tcPr>
            <w:tcW w:w="567" w:type="dxa"/>
            <w:vAlign w:val="center"/>
          </w:tcPr>
          <w:p>
            <w:pPr>
              <w:jc w:val="center"/>
              <w:rPr>
                <w:rFonts w:ascii="宋体" w:hAnsi="宋体" w:cs="宋体"/>
                <w:b w:val="0"/>
                <w:bCs/>
                <w:sz w:val="21"/>
                <w:szCs w:val="21"/>
              </w:rPr>
            </w:pPr>
            <w:r>
              <w:rPr>
                <w:rFonts w:hint="eastAsia" w:ascii="宋体" w:hAnsi="宋体" w:cs="宋体"/>
                <w:b w:val="0"/>
                <w:bCs/>
                <w:sz w:val="21"/>
                <w:szCs w:val="21"/>
              </w:rPr>
              <w:t>分值范围</w:t>
            </w:r>
          </w:p>
        </w:tc>
        <w:tc>
          <w:tcPr>
            <w:tcW w:w="7017" w:type="dxa"/>
            <w:vAlign w:val="center"/>
          </w:tcPr>
          <w:p>
            <w:pPr>
              <w:jc w:val="center"/>
              <w:rPr>
                <w:rFonts w:ascii="宋体" w:hAnsi="宋体" w:cs="宋体"/>
                <w:b w:val="0"/>
                <w:bCs/>
                <w:sz w:val="21"/>
                <w:szCs w:val="21"/>
              </w:rPr>
            </w:pPr>
            <w:r>
              <w:rPr>
                <w:rFonts w:hint="eastAsia" w:ascii="宋体" w:hAnsi="宋体" w:cs="宋体"/>
                <w:b w:val="0"/>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5"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982" w:type="dxa"/>
            <w:vAlign w:val="center"/>
          </w:tcPr>
          <w:p>
            <w:pPr>
              <w:jc w:val="left"/>
              <w:rPr>
                <w:rFonts w:ascii="宋体" w:hAnsi="宋体" w:cs="宋体"/>
                <w:b w:val="0"/>
                <w:bCs/>
                <w:sz w:val="21"/>
                <w:szCs w:val="21"/>
              </w:rPr>
            </w:pPr>
            <w:r>
              <w:rPr>
                <w:rFonts w:hint="eastAsia" w:ascii="宋体" w:hAnsi="宋体" w:cs="宋体"/>
                <w:b w:val="0"/>
                <w:bCs/>
                <w:sz w:val="21"/>
                <w:szCs w:val="21"/>
              </w:rPr>
              <w:t>供应商综合实力</w:t>
            </w:r>
          </w:p>
        </w:tc>
        <w:tc>
          <w:tcPr>
            <w:tcW w:w="567"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jc w:val="left"/>
              <w:rPr>
                <w:rFonts w:ascii="宋体" w:hAnsi="宋体" w:cs="宋体"/>
                <w:b w:val="0"/>
                <w:bCs/>
                <w:sz w:val="21"/>
                <w:szCs w:val="21"/>
              </w:rPr>
            </w:pPr>
            <w:r>
              <w:rPr>
                <w:rFonts w:hint="eastAsia" w:ascii="宋体" w:hAnsi="宋体" w:cs="宋体"/>
                <w:b w:val="0"/>
                <w:bCs/>
                <w:sz w:val="21"/>
                <w:szCs w:val="21"/>
              </w:rPr>
              <w:t>1）具有质量管理体系认证、环境管理体系认证、职业健康安全管理体系认证、能源管理体系认证，并在有效期内的，每有一个得</w:t>
            </w:r>
            <w:r>
              <w:rPr>
                <w:rFonts w:hint="eastAsia" w:ascii="宋体" w:hAnsi="宋体" w:cs="宋体"/>
                <w:b w:val="0"/>
                <w:bCs/>
                <w:sz w:val="21"/>
                <w:szCs w:val="21"/>
                <w:lang w:val="en-US" w:eastAsia="zh-CN"/>
              </w:rPr>
              <w:t>2</w:t>
            </w:r>
            <w:r>
              <w:rPr>
                <w:rFonts w:hint="eastAsia" w:ascii="宋体" w:hAnsi="宋体" w:cs="宋体"/>
                <w:b w:val="0"/>
                <w:bCs/>
                <w:sz w:val="21"/>
                <w:szCs w:val="21"/>
              </w:rPr>
              <w:t>分，本项最高得</w:t>
            </w:r>
            <w:r>
              <w:rPr>
                <w:rFonts w:hint="eastAsia" w:ascii="宋体" w:hAnsi="宋体" w:cs="宋体"/>
                <w:b w:val="0"/>
                <w:bCs/>
                <w:sz w:val="21"/>
                <w:szCs w:val="21"/>
                <w:lang w:val="en-US" w:eastAsia="zh-CN"/>
              </w:rPr>
              <w:t>8</w:t>
            </w:r>
            <w:r>
              <w:rPr>
                <w:rFonts w:hint="eastAsia" w:ascii="宋体" w:hAnsi="宋体" w:cs="宋体"/>
                <w:b w:val="0"/>
                <w:bCs/>
                <w:sz w:val="21"/>
                <w:szCs w:val="21"/>
              </w:rPr>
              <w:t>分。</w:t>
            </w:r>
          </w:p>
          <w:p>
            <w:pPr>
              <w:jc w:val="left"/>
              <w:rPr>
                <w:rFonts w:ascii="宋体" w:hAnsi="宋体" w:cs="宋体"/>
                <w:b w:val="0"/>
                <w:bCs/>
                <w:sz w:val="21"/>
                <w:szCs w:val="21"/>
              </w:rPr>
            </w:pPr>
            <w:r>
              <w:rPr>
                <w:rFonts w:hint="eastAsia" w:ascii="宋体" w:hAnsi="宋体" w:cs="宋体"/>
                <w:b w:val="0"/>
                <w:bCs/>
                <w:sz w:val="21"/>
                <w:szCs w:val="21"/>
              </w:rPr>
              <w:t>2）具有企业信用等级证书，3A级得</w:t>
            </w:r>
            <w:r>
              <w:rPr>
                <w:rFonts w:hint="eastAsia" w:ascii="宋体" w:hAnsi="宋体" w:cs="宋体"/>
                <w:b w:val="0"/>
                <w:bCs/>
                <w:sz w:val="21"/>
                <w:szCs w:val="21"/>
                <w:lang w:val="en-US" w:eastAsia="zh-CN"/>
              </w:rPr>
              <w:t>2</w:t>
            </w:r>
            <w:r>
              <w:rPr>
                <w:rFonts w:hint="eastAsia" w:ascii="宋体" w:hAnsi="宋体" w:cs="宋体"/>
                <w:b w:val="0"/>
                <w:bCs/>
                <w:sz w:val="21"/>
                <w:szCs w:val="21"/>
              </w:rPr>
              <w:t>分，2A级得</w:t>
            </w:r>
            <w:r>
              <w:rPr>
                <w:rFonts w:hint="eastAsia" w:ascii="宋体" w:hAnsi="宋体" w:cs="宋体"/>
                <w:b w:val="0"/>
                <w:bCs/>
                <w:sz w:val="21"/>
                <w:szCs w:val="21"/>
                <w:lang w:val="en-US" w:eastAsia="zh-CN"/>
              </w:rPr>
              <w:t>1</w:t>
            </w:r>
            <w:r>
              <w:rPr>
                <w:rFonts w:hint="eastAsia" w:ascii="宋体" w:hAnsi="宋体" w:cs="宋体"/>
                <w:b w:val="0"/>
                <w:bCs/>
                <w:sz w:val="21"/>
                <w:szCs w:val="21"/>
              </w:rPr>
              <w:t>分，其余不得分，最高得</w:t>
            </w:r>
            <w:r>
              <w:rPr>
                <w:rFonts w:hint="eastAsia" w:ascii="宋体" w:hAnsi="宋体" w:cs="宋体"/>
                <w:b w:val="0"/>
                <w:bCs/>
                <w:sz w:val="21"/>
                <w:szCs w:val="21"/>
                <w:lang w:val="en-US" w:eastAsia="zh-CN"/>
              </w:rPr>
              <w:t>2</w:t>
            </w:r>
            <w:r>
              <w:rPr>
                <w:rFonts w:hint="eastAsia" w:ascii="宋体" w:hAnsi="宋体" w:cs="宋体"/>
                <w:b w:val="0"/>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9" w:hRule="atLeast"/>
          <w:jc w:val="center"/>
        </w:trPr>
        <w:tc>
          <w:tcPr>
            <w:tcW w:w="583" w:type="dxa"/>
            <w:vAlign w:val="center"/>
          </w:tcPr>
          <w:p>
            <w:pPr>
              <w:jc w:val="center"/>
              <w:rPr>
                <w:rFonts w:ascii="宋体" w:hAnsi="宋体" w:cs="宋体"/>
                <w:b w:val="0"/>
                <w:bCs/>
                <w:sz w:val="21"/>
                <w:szCs w:val="21"/>
              </w:rPr>
            </w:pPr>
            <w:r>
              <w:rPr>
                <w:rFonts w:hint="eastAsia" w:ascii="宋体" w:hAnsi="宋体" w:cs="宋体"/>
                <w:b w:val="0"/>
                <w:bCs/>
                <w:sz w:val="21"/>
                <w:szCs w:val="21"/>
              </w:rPr>
              <w:t>2</w:t>
            </w:r>
          </w:p>
        </w:tc>
        <w:tc>
          <w:tcPr>
            <w:tcW w:w="982" w:type="dxa"/>
            <w:vAlign w:val="center"/>
          </w:tcPr>
          <w:p>
            <w:pPr>
              <w:snapToGrid w:val="0"/>
              <w:jc w:val="center"/>
              <w:rPr>
                <w:rFonts w:ascii="宋体" w:hAnsi="宋体" w:cs="宋体"/>
                <w:b w:val="0"/>
                <w:bCs/>
                <w:sz w:val="21"/>
                <w:szCs w:val="21"/>
              </w:rPr>
            </w:pPr>
            <w:r>
              <w:rPr>
                <w:rFonts w:hint="eastAsia" w:ascii="宋体" w:hAnsi="宋体" w:cs="宋体"/>
                <w:b w:val="0"/>
                <w:bCs/>
                <w:sz w:val="21"/>
                <w:szCs w:val="21"/>
              </w:rPr>
              <w:t>维保技术</w:t>
            </w:r>
          </w:p>
          <w:p>
            <w:pPr>
              <w:jc w:val="center"/>
              <w:rPr>
                <w:rFonts w:ascii="宋体" w:hAnsi="宋体" w:cs="宋体" w:eastAsiaTheme="minorEastAsia"/>
                <w:b w:val="0"/>
                <w:bCs/>
                <w:kern w:val="2"/>
                <w:sz w:val="21"/>
                <w:szCs w:val="21"/>
                <w:lang w:val="en-US" w:eastAsia="zh-CN" w:bidi="ar-SA"/>
              </w:rPr>
            </w:pPr>
            <w:r>
              <w:rPr>
                <w:rFonts w:hint="eastAsia" w:ascii="宋体" w:hAnsi="宋体" w:cs="宋体"/>
                <w:b w:val="0"/>
                <w:bCs/>
                <w:sz w:val="21"/>
                <w:szCs w:val="21"/>
              </w:rPr>
              <w:t>人员力量</w:t>
            </w:r>
          </w:p>
        </w:tc>
        <w:tc>
          <w:tcPr>
            <w:tcW w:w="567" w:type="dxa"/>
            <w:vAlign w:val="center"/>
          </w:tcPr>
          <w:p>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w:t>
            </w:r>
          </w:p>
        </w:tc>
        <w:tc>
          <w:tcPr>
            <w:tcW w:w="7017" w:type="dxa"/>
            <w:vAlign w:val="center"/>
          </w:tcPr>
          <w:p>
            <w:pPr>
              <w:numPr>
                <w:ilvl w:val="0"/>
                <w:numId w:val="5"/>
              </w:numPr>
              <w:jc w:val="left"/>
              <w:rPr>
                <w:rFonts w:hint="eastAsia" w:ascii="宋体" w:hAnsi="宋体" w:cs="宋体"/>
                <w:b w:val="0"/>
                <w:bCs/>
                <w:sz w:val="21"/>
                <w:szCs w:val="21"/>
                <w:lang w:val="en-US" w:eastAsia="zh-CN"/>
              </w:rPr>
            </w:pPr>
            <w:r>
              <w:rPr>
                <w:rFonts w:hint="eastAsia" w:ascii="宋体" w:hAnsi="宋体" w:cs="宋体"/>
                <w:b w:val="0"/>
                <w:bCs/>
                <w:sz w:val="21"/>
                <w:szCs w:val="21"/>
              </w:rPr>
              <w:t>提供拟派维保团队人员信息表</w:t>
            </w:r>
            <w:r>
              <w:rPr>
                <w:rFonts w:hint="eastAsia" w:ascii="宋体" w:hAnsi="宋体" w:eastAsia="宋体" w:cs="宋体"/>
                <w:b w:val="0"/>
                <w:bCs/>
                <w:sz w:val="21"/>
                <w:szCs w:val="21"/>
                <w:lang w:val="en-US" w:eastAsia="zh-CN"/>
              </w:rPr>
              <w:t>中1名具有压力容器作业证人员得5分</w:t>
            </w:r>
            <w:r>
              <w:rPr>
                <w:rFonts w:hint="eastAsia" w:ascii="宋体" w:hAnsi="宋体" w:cs="宋体"/>
                <w:b w:val="0"/>
                <w:bCs/>
                <w:sz w:val="21"/>
                <w:szCs w:val="21"/>
              </w:rPr>
              <w:t>；</w:t>
            </w:r>
            <w:r>
              <w:rPr>
                <w:rFonts w:hint="eastAsia" w:ascii="宋体" w:hAnsi="宋体" w:cs="宋体"/>
                <w:b w:val="0"/>
                <w:bCs/>
                <w:sz w:val="21"/>
                <w:szCs w:val="21"/>
                <w:lang w:val="en-US" w:eastAsia="zh-CN"/>
              </w:rPr>
              <w:t>须</w:t>
            </w:r>
            <w:r>
              <w:rPr>
                <w:rFonts w:hint="eastAsia" w:ascii="宋体" w:hAnsi="宋体" w:cs="宋体"/>
                <w:b w:val="0"/>
                <w:bCs/>
                <w:sz w:val="21"/>
                <w:szCs w:val="21"/>
              </w:rPr>
              <w:t>提供证书及投标人为该名维保人员缴纳的近6个月的社会保险证明。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cs="宋体"/>
                <w:b w:val="0"/>
                <w:bCs/>
                <w:sz w:val="21"/>
                <w:szCs w:val="21"/>
                <w:lang w:val="en-US" w:eastAsia="zh-CN"/>
              </w:rPr>
            </w:pPr>
            <w:bookmarkStart w:id="0" w:name="_Hlk114480415"/>
            <w:r>
              <w:rPr>
                <w:rFonts w:hint="eastAsia" w:ascii="宋体" w:hAnsi="宋体" w:cs="宋体"/>
                <w:b w:val="0"/>
                <w:bCs/>
                <w:sz w:val="21"/>
                <w:szCs w:val="21"/>
                <w:lang w:val="en-US" w:eastAsia="zh-CN"/>
              </w:rPr>
              <w:t>3</w:t>
            </w:r>
          </w:p>
        </w:tc>
        <w:tc>
          <w:tcPr>
            <w:tcW w:w="982" w:type="dxa"/>
            <w:vAlign w:val="center"/>
          </w:tcPr>
          <w:p>
            <w:pPr>
              <w:jc w:val="center"/>
              <w:rPr>
                <w:rFonts w:hint="eastAsia" w:ascii="宋体" w:hAnsi="宋体" w:cs="宋体"/>
                <w:b w:val="0"/>
                <w:bCs/>
                <w:sz w:val="21"/>
                <w:szCs w:val="21"/>
              </w:rPr>
            </w:pPr>
            <w:r>
              <w:rPr>
                <w:rFonts w:hint="eastAsia" w:ascii="宋体" w:hAnsi="宋体" w:cs="宋体"/>
                <w:b w:val="0"/>
                <w:bCs/>
                <w:sz w:val="21"/>
                <w:szCs w:val="21"/>
              </w:rPr>
              <w:t>对本项目的整体策划和实施方案</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pStyle w:val="6"/>
              <w:rPr>
                <w:rFonts w:ascii="宋体" w:hAnsi="宋体" w:cs="宋体"/>
                <w:b w:val="0"/>
                <w:bCs/>
                <w:sz w:val="21"/>
                <w:szCs w:val="21"/>
              </w:rPr>
            </w:pPr>
            <w:r>
              <w:rPr>
                <w:rFonts w:hint="eastAsia" w:ascii="宋体" w:hAnsi="宋体" w:cs="宋体"/>
                <w:b w:val="0"/>
                <w:bCs/>
                <w:sz w:val="21"/>
                <w:szCs w:val="21"/>
              </w:rPr>
              <w:t>（1）项目管理服务质量保证措施，</w:t>
            </w:r>
            <w:r>
              <w:rPr>
                <w:rFonts w:hint="eastAsia" w:ascii="宋体" w:hAnsi="宋体" w:cs="宋体"/>
                <w:b w:val="0"/>
                <w:bCs/>
                <w:sz w:val="21"/>
                <w:szCs w:val="21"/>
                <w:lang w:val="en-US" w:eastAsia="zh-CN"/>
              </w:rPr>
              <w:t>安全保证措施</w:t>
            </w:r>
            <w:r>
              <w:rPr>
                <w:rFonts w:hint="eastAsia" w:ascii="宋体" w:hAnsi="宋体" w:cs="宋体"/>
                <w:b w:val="0"/>
                <w:bCs/>
                <w:sz w:val="21"/>
                <w:szCs w:val="21"/>
              </w:rPr>
              <w:t>，措施可靠有针对性。评委根据投标人提供的材料评分，优为</w:t>
            </w:r>
            <w:r>
              <w:rPr>
                <w:rFonts w:hint="eastAsia" w:ascii="宋体" w:hAnsi="宋体" w:cs="宋体"/>
                <w:b w:val="0"/>
                <w:bCs/>
                <w:sz w:val="21"/>
                <w:szCs w:val="21"/>
                <w:lang w:val="en-US" w:eastAsia="zh-CN"/>
              </w:rPr>
              <w:t>3</w:t>
            </w:r>
            <w:r>
              <w:rPr>
                <w:rFonts w:hint="eastAsia" w:ascii="宋体" w:hAnsi="宋体" w:cs="宋体"/>
                <w:b w:val="0"/>
                <w:bCs/>
                <w:sz w:val="21"/>
                <w:szCs w:val="21"/>
              </w:rPr>
              <w:t>分，良为</w:t>
            </w:r>
            <w:r>
              <w:rPr>
                <w:rFonts w:hint="eastAsia" w:ascii="宋体" w:hAnsi="宋体" w:cs="宋体"/>
                <w:b w:val="0"/>
                <w:bCs/>
                <w:sz w:val="21"/>
                <w:szCs w:val="21"/>
                <w:lang w:val="en-US" w:eastAsia="zh-CN"/>
              </w:rPr>
              <w:t>2</w:t>
            </w:r>
            <w:r>
              <w:rPr>
                <w:rFonts w:hint="eastAsia" w:ascii="宋体" w:hAnsi="宋体" w:cs="宋体"/>
                <w:b w:val="0"/>
                <w:bCs/>
                <w:sz w:val="21"/>
                <w:szCs w:val="21"/>
              </w:rPr>
              <w:t>分，一般为</w:t>
            </w:r>
            <w:r>
              <w:rPr>
                <w:rFonts w:hint="eastAsia" w:ascii="宋体" w:hAnsi="宋体" w:cs="宋体"/>
                <w:b w:val="0"/>
                <w:bCs/>
                <w:sz w:val="21"/>
                <w:szCs w:val="21"/>
                <w:lang w:val="en-US" w:eastAsia="zh-CN"/>
              </w:rPr>
              <w:t>1</w:t>
            </w:r>
            <w:r>
              <w:rPr>
                <w:rFonts w:hint="eastAsia" w:ascii="宋体" w:hAnsi="宋体" w:cs="宋体"/>
                <w:b w:val="0"/>
                <w:bCs/>
                <w:sz w:val="21"/>
                <w:szCs w:val="21"/>
              </w:rPr>
              <w:t>分，该项最高得</w:t>
            </w:r>
            <w:r>
              <w:rPr>
                <w:rFonts w:hint="eastAsia" w:ascii="宋体" w:hAnsi="宋体" w:cs="宋体"/>
                <w:b w:val="0"/>
                <w:bCs/>
                <w:sz w:val="21"/>
                <w:szCs w:val="21"/>
                <w:lang w:val="en-US" w:eastAsia="zh-CN"/>
              </w:rPr>
              <w:t>3</w:t>
            </w:r>
            <w:r>
              <w:rPr>
                <w:rFonts w:hint="eastAsia" w:ascii="宋体" w:hAnsi="宋体" w:cs="宋体"/>
                <w:b w:val="0"/>
                <w:bCs/>
                <w:sz w:val="21"/>
                <w:szCs w:val="21"/>
              </w:rPr>
              <w:t>分</w:t>
            </w:r>
            <w:r>
              <w:rPr>
                <w:rFonts w:hint="eastAsia" w:ascii="宋体" w:hAnsi="宋体" w:cs="宋体"/>
                <w:b w:val="0"/>
                <w:bCs/>
                <w:sz w:val="21"/>
                <w:szCs w:val="21"/>
                <w:lang w:val="en-US" w:eastAsia="zh-CN"/>
              </w:rPr>
              <w:t>。</w:t>
            </w:r>
          </w:p>
          <w:p>
            <w:pPr>
              <w:pStyle w:val="6"/>
              <w:rPr>
                <w:rFonts w:ascii="宋体" w:hAnsi="宋体" w:cs="宋体"/>
                <w:b w:val="0"/>
                <w:bCs/>
                <w:sz w:val="21"/>
                <w:szCs w:val="21"/>
              </w:rPr>
            </w:pPr>
            <w:r>
              <w:rPr>
                <w:rFonts w:hint="eastAsia" w:ascii="宋体" w:hAnsi="宋体" w:cs="宋体"/>
                <w:b w:val="0"/>
                <w:bCs/>
                <w:sz w:val="21"/>
                <w:szCs w:val="21"/>
              </w:rPr>
              <w:t>（2）工作计划详细合理性和进度安排保证措施的合理性评委根据投标人提供的材料评分，优为</w:t>
            </w:r>
            <w:r>
              <w:rPr>
                <w:rFonts w:hint="eastAsia" w:ascii="宋体" w:hAnsi="宋体" w:cs="宋体"/>
                <w:b w:val="0"/>
                <w:bCs/>
                <w:sz w:val="21"/>
                <w:szCs w:val="21"/>
                <w:lang w:val="en-US" w:eastAsia="zh-CN"/>
              </w:rPr>
              <w:t>3</w:t>
            </w:r>
            <w:r>
              <w:rPr>
                <w:rFonts w:hint="eastAsia" w:ascii="宋体" w:hAnsi="宋体" w:cs="宋体"/>
                <w:b w:val="0"/>
                <w:bCs/>
                <w:sz w:val="21"/>
                <w:szCs w:val="21"/>
              </w:rPr>
              <w:t>分，良为</w:t>
            </w:r>
            <w:r>
              <w:rPr>
                <w:rFonts w:hint="eastAsia" w:ascii="宋体" w:hAnsi="宋体" w:cs="宋体"/>
                <w:b w:val="0"/>
                <w:bCs/>
                <w:sz w:val="21"/>
                <w:szCs w:val="21"/>
                <w:lang w:val="en-US" w:eastAsia="zh-CN"/>
              </w:rPr>
              <w:t>2</w:t>
            </w:r>
            <w:r>
              <w:rPr>
                <w:rFonts w:hint="eastAsia" w:ascii="宋体" w:hAnsi="宋体" w:cs="宋体"/>
                <w:b w:val="0"/>
                <w:bCs/>
                <w:sz w:val="21"/>
                <w:szCs w:val="21"/>
              </w:rPr>
              <w:t>分，一般为1分，该项最高得</w:t>
            </w:r>
            <w:r>
              <w:rPr>
                <w:rFonts w:hint="eastAsia" w:ascii="宋体" w:hAnsi="宋体" w:cs="宋体"/>
                <w:b w:val="0"/>
                <w:bCs/>
                <w:sz w:val="21"/>
                <w:szCs w:val="21"/>
                <w:lang w:val="en-US" w:eastAsia="zh-CN"/>
              </w:rPr>
              <w:t>3</w:t>
            </w:r>
            <w:r>
              <w:rPr>
                <w:rFonts w:hint="eastAsia" w:ascii="宋体" w:hAnsi="宋体" w:cs="宋体"/>
                <w:b w:val="0"/>
                <w:bCs/>
                <w:sz w:val="21"/>
                <w:szCs w:val="21"/>
              </w:rPr>
              <w:t>分</w:t>
            </w:r>
            <w:r>
              <w:rPr>
                <w:rFonts w:hint="eastAsia" w:ascii="宋体" w:hAnsi="宋体" w:cs="宋体"/>
                <w:b w:val="0"/>
                <w:bCs/>
                <w:sz w:val="21"/>
                <w:szCs w:val="21"/>
                <w:lang w:val="en-US" w:eastAsia="zh-CN"/>
              </w:rPr>
              <w:t>。</w:t>
            </w:r>
          </w:p>
          <w:p>
            <w:pPr>
              <w:pStyle w:val="6"/>
              <w:rPr>
                <w:rFonts w:hint="eastAsia" w:ascii="宋体" w:hAnsi="宋体" w:cs="宋体"/>
                <w:b w:val="0"/>
                <w:bCs/>
                <w:sz w:val="21"/>
                <w:szCs w:val="21"/>
              </w:rPr>
            </w:pPr>
            <w:r>
              <w:rPr>
                <w:rFonts w:hint="eastAsia" w:ascii="宋体" w:hAnsi="宋体" w:cs="宋体"/>
                <w:b w:val="0"/>
                <w:bCs/>
                <w:sz w:val="21"/>
                <w:szCs w:val="21"/>
              </w:rPr>
              <w:t>（3）针对供应商提供响应本项目的</w:t>
            </w:r>
            <w:r>
              <w:rPr>
                <w:rFonts w:hint="eastAsia" w:ascii="宋体" w:hAnsi="宋体" w:cs="宋体"/>
                <w:b w:val="0"/>
                <w:bCs/>
                <w:sz w:val="21"/>
                <w:szCs w:val="21"/>
                <w:lang w:val="en-US" w:eastAsia="zh-CN"/>
              </w:rPr>
              <w:t>维保</w:t>
            </w:r>
            <w:r>
              <w:rPr>
                <w:rFonts w:hint="eastAsia" w:ascii="宋体" w:hAnsi="宋体" w:cs="宋体"/>
                <w:b w:val="0"/>
                <w:bCs/>
                <w:sz w:val="21"/>
                <w:szCs w:val="21"/>
              </w:rPr>
              <w:t>方案，维</w:t>
            </w:r>
            <w:r>
              <w:rPr>
                <w:rFonts w:hint="eastAsia" w:ascii="宋体" w:hAnsi="宋体" w:cs="宋体"/>
                <w:b w:val="0"/>
                <w:bCs/>
                <w:sz w:val="21"/>
                <w:szCs w:val="21"/>
                <w:lang w:val="en-US" w:eastAsia="zh-CN"/>
              </w:rPr>
              <w:t>修</w:t>
            </w:r>
            <w:r>
              <w:rPr>
                <w:rFonts w:hint="eastAsia" w:ascii="宋体" w:hAnsi="宋体" w:cs="宋体"/>
                <w:b w:val="0"/>
                <w:bCs/>
                <w:sz w:val="21"/>
                <w:szCs w:val="21"/>
              </w:rPr>
              <w:t>方案符合相关规范及实际需要、针对性和实用性强，评委就方案内容的明确性及有针对性进行比较后分三档进行评审：优为</w:t>
            </w:r>
            <w:r>
              <w:rPr>
                <w:rFonts w:hint="eastAsia" w:ascii="宋体" w:hAnsi="宋体" w:cs="宋体"/>
                <w:b w:val="0"/>
                <w:bCs/>
                <w:sz w:val="21"/>
                <w:szCs w:val="21"/>
                <w:lang w:val="en-US" w:eastAsia="zh-CN"/>
              </w:rPr>
              <w:t>4</w:t>
            </w:r>
            <w:r>
              <w:rPr>
                <w:rFonts w:hint="eastAsia" w:ascii="宋体" w:hAnsi="宋体" w:cs="宋体"/>
                <w:b w:val="0"/>
                <w:bCs/>
                <w:sz w:val="21"/>
                <w:szCs w:val="21"/>
              </w:rPr>
              <w:t>分，良为</w:t>
            </w:r>
            <w:r>
              <w:rPr>
                <w:rFonts w:hint="eastAsia" w:ascii="宋体" w:hAnsi="宋体" w:cs="宋体"/>
                <w:b w:val="0"/>
                <w:bCs/>
                <w:sz w:val="21"/>
                <w:szCs w:val="21"/>
                <w:lang w:val="en-US" w:eastAsia="zh-CN"/>
              </w:rPr>
              <w:t>3</w:t>
            </w:r>
            <w:r>
              <w:rPr>
                <w:rFonts w:hint="eastAsia" w:ascii="宋体" w:hAnsi="宋体" w:cs="宋体"/>
                <w:b w:val="0"/>
                <w:bCs/>
                <w:sz w:val="21"/>
                <w:szCs w:val="21"/>
              </w:rPr>
              <w:t>分，一般为</w:t>
            </w:r>
            <w:r>
              <w:rPr>
                <w:rFonts w:hint="eastAsia" w:ascii="宋体" w:hAnsi="宋体" w:cs="宋体"/>
                <w:b w:val="0"/>
                <w:bCs/>
                <w:sz w:val="21"/>
                <w:szCs w:val="21"/>
                <w:lang w:val="en-US" w:eastAsia="zh-CN"/>
              </w:rPr>
              <w:t>1</w:t>
            </w:r>
            <w:r>
              <w:rPr>
                <w:rFonts w:hint="eastAsia" w:ascii="宋体" w:hAnsi="宋体" w:cs="宋体"/>
                <w:b w:val="0"/>
                <w:bCs/>
                <w:sz w:val="21"/>
                <w:szCs w:val="21"/>
              </w:rPr>
              <w:t>分，该项最高得</w:t>
            </w:r>
            <w:r>
              <w:rPr>
                <w:rFonts w:hint="eastAsia" w:ascii="宋体" w:hAnsi="宋体" w:cs="宋体"/>
                <w:b w:val="0"/>
                <w:bCs/>
                <w:sz w:val="21"/>
                <w:szCs w:val="21"/>
                <w:lang w:val="en-US" w:eastAsia="zh-CN"/>
              </w:rPr>
              <w:t>4</w:t>
            </w:r>
            <w:r>
              <w:rPr>
                <w:rFonts w:hint="eastAsia" w:ascii="宋体" w:hAnsi="宋体" w:cs="宋体"/>
                <w:b w:val="0"/>
                <w:bCs/>
                <w:sz w:val="21"/>
                <w:szCs w:val="21"/>
              </w:rPr>
              <w:t>分</w:t>
            </w:r>
            <w:r>
              <w:rPr>
                <w:rFonts w:hint="eastAsia" w:ascii="宋体" w:hAnsi="宋体" w:cs="宋体"/>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2"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982" w:type="dxa"/>
            <w:vAlign w:val="center"/>
          </w:tcPr>
          <w:p>
            <w:pPr>
              <w:jc w:val="both"/>
              <w:rPr>
                <w:rFonts w:hint="default" w:ascii="宋体" w:hAnsi="宋体" w:cs="宋体" w:eastAsiaTheme="minorEastAsia"/>
                <w:b w:val="0"/>
                <w:bCs/>
                <w:sz w:val="21"/>
                <w:szCs w:val="21"/>
                <w:lang w:val="en-US" w:eastAsia="zh-CN"/>
              </w:rPr>
            </w:pPr>
            <w:r>
              <w:rPr>
                <w:rFonts w:hint="eastAsia" w:ascii="宋体" w:hAnsi="宋体" w:cs="宋体"/>
                <w:b w:val="0"/>
                <w:bCs/>
                <w:sz w:val="21"/>
                <w:szCs w:val="21"/>
                <w:lang w:val="en-US" w:eastAsia="zh-CN"/>
              </w:rPr>
              <w:t>维保服务响应及时性</w:t>
            </w:r>
          </w:p>
        </w:tc>
        <w:tc>
          <w:tcPr>
            <w:tcW w:w="567"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7017" w:type="dxa"/>
            <w:vAlign w:val="center"/>
          </w:tcPr>
          <w:p>
            <w:pPr>
              <w:pStyle w:val="6"/>
              <w:rPr>
                <w:rFonts w:hint="default" w:ascii="宋体" w:hAnsi="宋体" w:cs="宋体" w:eastAsiaTheme="minorEastAsia"/>
                <w:b w:val="0"/>
                <w:bCs/>
                <w:sz w:val="21"/>
                <w:szCs w:val="21"/>
                <w:lang w:val="en-US" w:eastAsia="zh-CN"/>
              </w:rPr>
            </w:pPr>
            <w:r>
              <w:rPr>
                <w:rFonts w:hint="eastAsia" w:ascii="宋体" w:hAnsi="宋体" w:cs="宋体"/>
                <w:b w:val="0"/>
                <w:bCs/>
                <w:sz w:val="21"/>
                <w:szCs w:val="21"/>
                <w:lang w:val="en-US" w:eastAsia="zh-CN"/>
              </w:rPr>
              <w:t>为保障维保需求，对投标人服务响应及时性进行评价：根据各投标人设立的机构或办事处（公司）至本项目服务地点的服务响应时间进行评分，各投标人承诺可在0.5小时内响应并从投标人公司派人到达招标人指定地点提供维保服务的得10分。在1小时内响应并从投标人公司派人到达招标人指定地点提供维保服务的得5分。在1小时以上响应并从投标人公司派人到达招标人指定地点提供维保服务的得2分，未按要求提供的不得分。（注：须提供各投标人设立机构或办事处（公司）注册地址的产权证明扫描件或租赁合同扫描件与投标人设立机构或办事处（公司）注册地址至采购人地址的百度或高德地图显示距离及到达时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5" w:hRule="atLeast"/>
          <w:jc w:val="center"/>
        </w:trPr>
        <w:tc>
          <w:tcPr>
            <w:tcW w:w="9149" w:type="dxa"/>
            <w:gridSpan w:val="4"/>
            <w:vAlign w:val="center"/>
          </w:tcPr>
          <w:p>
            <w:pPr>
              <w:pStyle w:val="6"/>
              <w:tabs>
                <w:tab w:val="left" w:pos="2580"/>
              </w:tabs>
              <w:jc w:val="center"/>
              <w:rPr>
                <w:rFonts w:hint="eastAsia" w:ascii="宋体" w:hAnsi="宋体" w:eastAsiaTheme="minorEastAsia"/>
                <w:sz w:val="22"/>
                <w:szCs w:val="21"/>
                <w:lang w:val="en-US" w:eastAsia="zh-CN"/>
              </w:rPr>
            </w:pPr>
            <w:r>
              <w:rPr>
                <w:rFonts w:hint="eastAsia" w:ascii="宋体" w:hAnsi="宋体"/>
                <w:b/>
                <w:bCs/>
                <w:sz w:val="36"/>
                <w:szCs w:val="32"/>
                <w:lang w:val="en-US" w:eastAsia="zh-CN"/>
              </w:rPr>
              <w:t>商务分评分（60分）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583" w:type="dxa"/>
            <w:vAlign w:val="center"/>
          </w:tcPr>
          <w:p>
            <w:pPr>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982" w:type="dxa"/>
            <w:vAlign w:val="center"/>
          </w:tcPr>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商务分</w:t>
            </w:r>
          </w:p>
        </w:tc>
        <w:tc>
          <w:tcPr>
            <w:tcW w:w="567" w:type="dxa"/>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w:t>
            </w:r>
          </w:p>
        </w:tc>
        <w:tc>
          <w:tcPr>
            <w:tcW w:w="7017" w:type="dxa"/>
            <w:vAlign w:val="center"/>
          </w:tcPr>
          <w:p>
            <w:pPr>
              <w:spacing w:line="320" w:lineRule="exact"/>
              <w:rPr>
                <w:rFonts w:hint="eastAsia" w:ascii="宋体" w:hAnsi="宋体"/>
                <w:sz w:val="22"/>
                <w:szCs w:val="21"/>
              </w:rPr>
            </w:pPr>
            <w:r>
              <w:rPr>
                <w:rFonts w:hint="eastAsia" w:ascii="宋体" w:hAnsi="宋体"/>
                <w:sz w:val="22"/>
                <w:szCs w:val="21"/>
              </w:rPr>
              <w:t>1、确定有效报价：投标报价低于招标控制价的投标报价为有效报价</w:t>
            </w:r>
          </w:p>
          <w:p>
            <w:pPr>
              <w:pStyle w:val="6"/>
              <w:tabs>
                <w:tab w:val="left" w:pos="2580"/>
              </w:tabs>
              <w:rPr>
                <w:rFonts w:hint="eastAsia" w:ascii="宋体" w:hAnsi="宋体"/>
                <w:sz w:val="22"/>
                <w:szCs w:val="21"/>
              </w:rPr>
            </w:pPr>
            <w:r>
              <w:rPr>
                <w:rFonts w:hint="eastAsia" w:ascii="宋体" w:hAnsi="宋体"/>
                <w:sz w:val="22"/>
                <w:szCs w:val="21"/>
              </w:rPr>
              <w:t>2、确定基准价：所有有效报价的算术平均值为评标基准价，投标报价等于评标基准价的得满分</w:t>
            </w:r>
            <w:r>
              <w:rPr>
                <w:rFonts w:hint="eastAsia" w:ascii="宋体" w:hAnsi="宋体"/>
                <w:sz w:val="22"/>
                <w:szCs w:val="21"/>
                <w:lang w:val="en-US" w:eastAsia="zh-CN"/>
              </w:rPr>
              <w:t>6</w:t>
            </w:r>
            <w:r>
              <w:rPr>
                <w:rFonts w:hint="eastAsia" w:ascii="宋体" w:hAnsi="宋体"/>
                <w:sz w:val="22"/>
                <w:szCs w:val="21"/>
              </w:rPr>
              <w:t>0分，各投标人的投标报价与评标基准价相比较，每上浮1%扣0.</w:t>
            </w:r>
            <w:r>
              <w:rPr>
                <w:rFonts w:hint="eastAsia" w:ascii="宋体" w:hAnsi="宋体"/>
                <w:sz w:val="22"/>
                <w:szCs w:val="21"/>
                <w:lang w:val="en-US" w:eastAsia="zh-CN"/>
              </w:rPr>
              <w:t>9</w:t>
            </w:r>
            <w:r>
              <w:rPr>
                <w:rFonts w:hint="eastAsia" w:ascii="宋体" w:hAnsi="宋体"/>
                <w:sz w:val="22"/>
                <w:szCs w:val="21"/>
              </w:rPr>
              <w:t>分，下浮1%扣0.</w:t>
            </w:r>
            <w:r>
              <w:rPr>
                <w:rFonts w:hint="eastAsia" w:ascii="宋体" w:hAnsi="宋体"/>
                <w:sz w:val="22"/>
                <w:szCs w:val="21"/>
                <w:lang w:val="en-US" w:eastAsia="zh-CN"/>
              </w:rPr>
              <w:t>6</w:t>
            </w:r>
            <w:r>
              <w:rPr>
                <w:rFonts w:hint="eastAsia" w:ascii="宋体" w:hAnsi="宋体"/>
                <w:sz w:val="22"/>
                <w:szCs w:val="21"/>
              </w:rPr>
              <w:t>分，不足1%的采用插入法，得分保留小数点后两位。</w:t>
            </w:r>
          </w:p>
        </w:tc>
      </w:tr>
      <w:bookmarkEnd w:id="0"/>
    </w:tbl>
    <w:p>
      <w:pPr>
        <w:pStyle w:val="28"/>
        <w:spacing w:line="360" w:lineRule="auto"/>
        <w:ind w:left="0" w:leftChars="0" w:firstLine="480"/>
        <w:rPr>
          <w:rFonts w:hint="eastAsia"/>
          <w:b w:val="0"/>
          <w:bCs/>
          <w:kern w:val="2"/>
          <w:sz w:val="21"/>
          <w:szCs w:val="21"/>
          <w:lang w:val="en-US" w:eastAsia="zh-CN"/>
        </w:rPr>
      </w:pPr>
    </w:p>
    <w:p>
      <w:pPr>
        <w:pStyle w:val="9"/>
        <w:rPr>
          <w:rFonts w:hint="default" w:ascii="宋体" w:hAnsi="宋体" w:eastAsia="宋体"/>
          <w:sz w:val="24"/>
          <w:szCs w:val="24"/>
          <w:highlight w:val="none"/>
          <w:lang w:val="en-US" w:eastAsia="zh-CN"/>
        </w:rPr>
      </w:pPr>
    </w:p>
    <w:p>
      <w:pPr>
        <w:numPr>
          <w:ilvl w:val="0"/>
          <w:numId w:val="6"/>
        </w:numPr>
        <w:spacing w:line="480" w:lineRule="exact"/>
        <w:ind w:left="150" w:leftChars="0" w:firstLine="480" w:firstLineChars="0"/>
        <w:rPr>
          <w:rFonts w:hint="eastAsia" w:asciiTheme="minorEastAsia" w:hAnsiTheme="minorEastAsia" w:eastAsiaTheme="minorEastAsia"/>
          <w:b w:val="0"/>
          <w:bCs w:val="0"/>
          <w:sz w:val="24"/>
          <w:szCs w:val="24"/>
          <w:highlight w:val="yellow"/>
        </w:rPr>
      </w:pPr>
      <w:r>
        <w:rPr>
          <w:rFonts w:hint="eastAsia" w:cs="宋体" w:asciiTheme="minorEastAsia" w:hAnsiTheme="minorEastAsia" w:eastAsiaTheme="minorEastAsia"/>
          <w:b w:val="0"/>
          <w:bCs w:val="0"/>
          <w:kern w:val="0"/>
          <w:sz w:val="24"/>
          <w:szCs w:val="24"/>
          <w:highlight w:val="none"/>
          <w:lang w:val="zh-CN"/>
        </w:rPr>
        <w:t>由招标人组织有关人员结合投标人资格等对投标文件进行评定，在符合</w:t>
      </w:r>
      <w:r>
        <w:rPr>
          <w:rFonts w:hint="eastAsia" w:cs="宋体" w:asciiTheme="minorEastAsia" w:hAnsiTheme="minorEastAsia" w:eastAsiaTheme="minorEastAsia"/>
          <w:b w:val="0"/>
          <w:bCs w:val="0"/>
          <w:kern w:val="0"/>
          <w:sz w:val="24"/>
          <w:szCs w:val="24"/>
          <w:highlight w:val="none"/>
        </w:rPr>
        <w:t>招</w:t>
      </w:r>
      <w:r>
        <w:rPr>
          <w:rFonts w:hint="eastAsia" w:cs="宋体" w:asciiTheme="minorEastAsia" w:hAnsiTheme="minorEastAsia" w:eastAsiaTheme="minorEastAsia"/>
          <w:b w:val="0"/>
          <w:bCs w:val="0"/>
          <w:kern w:val="0"/>
          <w:sz w:val="24"/>
          <w:szCs w:val="24"/>
          <w:highlight w:val="none"/>
          <w:lang w:val="zh-CN"/>
        </w:rPr>
        <w:t>标要求的前提下，</w:t>
      </w:r>
      <w:r>
        <w:rPr>
          <w:rFonts w:hint="eastAsia" w:ascii="宋体" w:hAnsi="宋体" w:cs="宋体"/>
          <w:b w:val="0"/>
          <w:bCs w:val="0"/>
          <w:color w:val="000000"/>
          <w:kern w:val="0"/>
          <w:sz w:val="24"/>
        </w:rPr>
        <w:t>依据</w:t>
      </w:r>
      <w:r>
        <w:rPr>
          <w:rFonts w:hint="eastAsia" w:ascii="宋体" w:hAnsi="宋体" w:cs="宋体"/>
          <w:b w:val="0"/>
          <w:bCs w:val="0"/>
          <w:color w:val="000000"/>
          <w:kern w:val="0"/>
          <w:sz w:val="24"/>
          <w:lang w:val="en-US" w:eastAsia="zh-CN"/>
        </w:rPr>
        <w:t>投标人</w:t>
      </w:r>
      <w:r>
        <w:rPr>
          <w:rFonts w:hint="eastAsia" w:ascii="宋体" w:hAnsi="宋体" w:cs="宋体"/>
          <w:b w:val="0"/>
          <w:bCs w:val="0"/>
          <w:color w:val="000000"/>
          <w:kern w:val="0"/>
          <w:sz w:val="24"/>
        </w:rPr>
        <w:t>的</w:t>
      </w:r>
      <w:r>
        <w:rPr>
          <w:rFonts w:hint="eastAsia" w:ascii="宋体" w:hAnsi="宋体" w:cs="宋体"/>
          <w:b w:val="0"/>
          <w:bCs w:val="0"/>
          <w:color w:val="000000"/>
          <w:kern w:val="0"/>
          <w:sz w:val="24"/>
          <w:highlight w:val="yellow"/>
          <w:lang w:val="en-US" w:eastAsia="zh-CN"/>
        </w:rPr>
        <w:t>综合得分</w:t>
      </w:r>
      <w:r>
        <w:rPr>
          <w:rFonts w:hint="eastAsia" w:ascii="宋体" w:hAnsi="宋体" w:cs="宋体"/>
          <w:b w:val="0"/>
          <w:bCs w:val="0"/>
          <w:color w:val="000000"/>
          <w:kern w:val="0"/>
          <w:sz w:val="24"/>
          <w:highlight w:val="yellow"/>
        </w:rPr>
        <w:t>由低到高排序，</w:t>
      </w:r>
      <w:r>
        <w:rPr>
          <w:rFonts w:hint="eastAsia" w:ascii="宋体" w:hAnsi="宋体" w:cs="宋体"/>
          <w:b w:val="0"/>
          <w:bCs w:val="0"/>
          <w:color w:val="000000"/>
          <w:kern w:val="0"/>
          <w:sz w:val="24"/>
          <w:highlight w:val="yellow"/>
          <w:lang w:val="en-US" w:eastAsia="zh-CN"/>
        </w:rPr>
        <w:t>得分最高的投标人</w:t>
      </w:r>
      <w:r>
        <w:rPr>
          <w:rFonts w:hint="eastAsia" w:cs="宋体" w:asciiTheme="minorEastAsia" w:hAnsiTheme="minorEastAsia" w:eastAsiaTheme="minorEastAsia"/>
          <w:b w:val="0"/>
          <w:bCs w:val="0"/>
          <w:kern w:val="0"/>
          <w:sz w:val="24"/>
          <w:szCs w:val="24"/>
          <w:highlight w:val="yellow"/>
          <w:lang w:val="zh-CN"/>
        </w:rPr>
        <w:t>为第一中标候选人</w:t>
      </w:r>
      <w:r>
        <w:rPr>
          <w:rFonts w:hint="eastAsia" w:cs="宋体" w:asciiTheme="minorEastAsia" w:hAnsiTheme="minorEastAsia"/>
          <w:b w:val="0"/>
          <w:bCs w:val="0"/>
          <w:kern w:val="0"/>
          <w:sz w:val="24"/>
          <w:szCs w:val="24"/>
          <w:highlight w:val="yellow"/>
          <w:lang w:val="zh-CN"/>
        </w:rPr>
        <w:t>；</w:t>
      </w:r>
      <w:r>
        <w:rPr>
          <w:rFonts w:hint="eastAsia" w:asciiTheme="minorEastAsia" w:hAnsiTheme="minorEastAsia" w:eastAsiaTheme="minorEastAsia"/>
          <w:b w:val="0"/>
          <w:bCs w:val="0"/>
          <w:sz w:val="24"/>
          <w:szCs w:val="24"/>
          <w:highlight w:val="yellow"/>
        </w:rPr>
        <w:t>确定成交候选人的特殊情况处理：</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（1）若总分相同，则按</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得分高者优先成交</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（2）若总分且</w:t>
      </w:r>
      <w:r>
        <w:rPr>
          <w:rFonts w:hint="eastAsia" w:asciiTheme="minorEastAsia" w:hAnsiTheme="minorEastAsia"/>
          <w:b w:val="0"/>
          <w:bCs w:val="0"/>
          <w:sz w:val="24"/>
          <w:szCs w:val="24"/>
          <w:highlight w:val="none"/>
          <w:lang w:val="en-US" w:eastAsia="zh-CN"/>
        </w:rPr>
        <w:t>价格分</w:t>
      </w:r>
      <w:r>
        <w:rPr>
          <w:rFonts w:hint="eastAsia" w:asciiTheme="minorEastAsia" w:hAnsiTheme="minorEastAsia" w:eastAsiaTheme="minorEastAsia"/>
          <w:b w:val="0"/>
          <w:bCs w:val="0"/>
          <w:sz w:val="24"/>
          <w:szCs w:val="24"/>
          <w:highlight w:val="none"/>
        </w:rPr>
        <w:t>相同，则采取现场抽签的方式确定</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3</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评审时，评委对评审的细则若有争议，</w:t>
      </w:r>
      <w:r>
        <w:rPr>
          <w:rFonts w:hint="eastAsia" w:asciiTheme="minorEastAsia" w:hAnsiTheme="minorEastAsia"/>
          <w:b w:val="0"/>
          <w:bCs w:val="0"/>
          <w:sz w:val="24"/>
          <w:szCs w:val="24"/>
          <w:highlight w:val="none"/>
          <w:lang w:val="en-US" w:eastAsia="zh-CN"/>
        </w:rPr>
        <w:t>可</w:t>
      </w:r>
      <w:r>
        <w:rPr>
          <w:rFonts w:hint="eastAsia" w:asciiTheme="minorEastAsia" w:hAnsiTheme="minorEastAsia" w:eastAsiaTheme="minorEastAsia"/>
          <w:b w:val="0"/>
          <w:bCs w:val="0"/>
          <w:sz w:val="24"/>
          <w:szCs w:val="24"/>
          <w:highlight w:val="none"/>
        </w:rPr>
        <w:t>集体讨论确定，并对未尽情况有最终解释权</w:t>
      </w:r>
    </w:p>
    <w:p>
      <w:pPr>
        <w:spacing w:line="480" w:lineRule="exact"/>
        <w:ind w:firstLine="480" w:firstLineChars="200"/>
        <w:rPr>
          <w:rFonts w:hint="eastAsia" w:asciiTheme="minorEastAsia" w:hAnsiTheme="minorEastAsia" w:eastAsiaTheme="minorEastAsia"/>
          <w:b w:val="0"/>
          <w:bCs w:val="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4</w:t>
      </w:r>
      <w:r>
        <w:rPr>
          <w:rFonts w:hint="eastAsia" w:asciiTheme="minorEastAsia" w:hAnsi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对落标的供应商不做落标原因的解释</w:t>
      </w:r>
    </w:p>
    <w:p>
      <w:pPr>
        <w:spacing w:line="480" w:lineRule="exact"/>
        <w:ind w:firstLine="480" w:firstLineChars="200"/>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val="0"/>
          <w:bCs w:val="0"/>
          <w:kern w:val="0"/>
          <w:sz w:val="24"/>
          <w:szCs w:val="24"/>
          <w:highlight w:val="none"/>
          <w:lang w:val="en-US" w:eastAsia="zh-CN"/>
        </w:rPr>
        <w:t>3、</w:t>
      </w:r>
      <w:r>
        <w:rPr>
          <w:rFonts w:hint="eastAsia" w:cs="宋体" w:asciiTheme="minorEastAsia" w:hAnsiTheme="minorEastAsia" w:eastAsiaTheme="minorEastAsia"/>
          <w:b w:val="0"/>
          <w:bCs w:val="0"/>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1" w:name="_Toc425249095"/>
      <w:bookmarkStart w:id="2"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1"/>
      <w:bookmarkEnd w:id="2"/>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6、投标保证金付款凭证；</w:t>
      </w:r>
    </w:p>
    <w:p>
      <w:pPr>
        <w:pStyle w:val="16"/>
        <w:widowControl/>
        <w:numPr>
          <w:ilvl w:val="0"/>
          <w:numId w:val="0"/>
        </w:numPr>
        <w:spacing w:line="360" w:lineRule="auto"/>
        <w:ind w:firstLine="480" w:firstLineChars="200"/>
        <w:jc w:val="left"/>
        <w:rPr>
          <w:rFonts w:hint="default" w:asciiTheme="minorEastAsia" w:hAnsiTheme="minorEastAsia" w:cstheme="minorEastAsia"/>
          <w:color w:val="auto"/>
          <w:kern w:val="0"/>
          <w:sz w:val="28"/>
          <w:szCs w:val="28"/>
          <w:highlight w:val="yellow"/>
          <w:lang w:val="en-US" w:eastAsia="zh-CN"/>
        </w:rPr>
      </w:pPr>
      <w:r>
        <w:rPr>
          <w:rFonts w:hint="eastAsia" w:ascii="宋体" w:hAnsi="宋体" w:eastAsia="宋体" w:cs="宋体"/>
          <w:sz w:val="24"/>
          <w:szCs w:val="24"/>
          <w:highlight w:val="yellow"/>
          <w:lang w:val="en-US" w:eastAsia="zh-CN"/>
        </w:rPr>
        <w:t>7、</w:t>
      </w:r>
      <w:r>
        <w:rPr>
          <w:rFonts w:hint="eastAsia" w:ascii="宋体" w:hAnsi="宋体" w:eastAsia="宋体" w:cs="宋体"/>
          <w:b w:val="0"/>
          <w:bCs/>
          <w:color w:val="auto"/>
          <w:sz w:val="24"/>
          <w:szCs w:val="24"/>
          <w:highlight w:val="yellow"/>
        </w:rPr>
        <w:t>供应商近</w:t>
      </w:r>
      <w:r>
        <w:rPr>
          <w:rFonts w:hint="eastAsia" w:ascii="宋体" w:hAnsi="宋体" w:eastAsia="宋体" w:cs="宋体"/>
          <w:b w:val="0"/>
          <w:bCs/>
          <w:color w:val="auto"/>
          <w:sz w:val="24"/>
          <w:szCs w:val="24"/>
          <w:highlight w:val="yellow"/>
          <w:lang w:val="en-US" w:eastAsia="zh-CN"/>
        </w:rPr>
        <w:t>2</w:t>
      </w:r>
      <w:r>
        <w:rPr>
          <w:rFonts w:hint="eastAsia" w:ascii="宋体" w:hAnsi="宋体" w:eastAsia="宋体" w:cs="宋体"/>
          <w:b w:val="0"/>
          <w:bCs/>
          <w:color w:val="auto"/>
          <w:sz w:val="24"/>
          <w:szCs w:val="24"/>
          <w:highlight w:val="yellow"/>
        </w:rPr>
        <w:t>年（202</w:t>
      </w:r>
      <w:r>
        <w:rPr>
          <w:rFonts w:hint="eastAsia" w:ascii="宋体" w:hAnsi="宋体" w:eastAsia="宋体" w:cs="宋体"/>
          <w:b w:val="0"/>
          <w:bCs/>
          <w:color w:val="auto"/>
          <w:sz w:val="24"/>
          <w:szCs w:val="24"/>
          <w:highlight w:val="yellow"/>
          <w:lang w:val="en-US" w:eastAsia="zh-CN"/>
        </w:rPr>
        <w:t>1</w:t>
      </w:r>
      <w:r>
        <w:rPr>
          <w:rFonts w:hint="eastAsia" w:ascii="宋体" w:hAnsi="宋体" w:eastAsia="宋体" w:cs="宋体"/>
          <w:b w:val="0"/>
          <w:bCs/>
          <w:color w:val="auto"/>
          <w:sz w:val="24"/>
          <w:szCs w:val="24"/>
          <w:highlight w:val="yellow"/>
        </w:rPr>
        <w:t>年1月1日以后，以合同签订时间为准）以来具有</w:t>
      </w:r>
      <w:r>
        <w:rPr>
          <w:rFonts w:hint="eastAsia" w:ascii="宋体" w:hAnsi="宋体" w:eastAsia="宋体" w:cs="宋体"/>
          <w:b w:val="0"/>
          <w:bCs/>
          <w:color w:val="auto"/>
          <w:sz w:val="24"/>
          <w:szCs w:val="24"/>
          <w:highlight w:val="yellow"/>
          <w:lang w:val="en-US" w:eastAsia="zh-CN"/>
        </w:rPr>
        <w:t>类似水质处理</w:t>
      </w:r>
      <w:r>
        <w:rPr>
          <w:rFonts w:hint="eastAsia" w:ascii="宋体" w:hAnsi="宋体" w:eastAsia="宋体" w:cs="宋体"/>
          <w:b w:val="0"/>
          <w:bCs/>
          <w:color w:val="auto"/>
          <w:sz w:val="24"/>
          <w:szCs w:val="24"/>
          <w:highlight w:val="yellow"/>
        </w:rPr>
        <w:t>业绩</w:t>
      </w:r>
      <w:r>
        <w:rPr>
          <w:rFonts w:hint="eastAsia" w:ascii="宋体" w:hAnsi="宋体" w:eastAsia="宋体" w:cs="宋体"/>
          <w:b w:val="0"/>
          <w:bCs/>
          <w:color w:val="auto"/>
          <w:sz w:val="24"/>
          <w:szCs w:val="24"/>
          <w:highlight w:val="yellow"/>
          <w:lang w:val="en-US" w:eastAsia="zh-CN"/>
        </w:rPr>
        <w:t>的有效证明（相应的合同复印件及发票</w:t>
      </w:r>
      <w:r>
        <w:rPr>
          <w:rFonts w:hint="eastAsia" w:ascii="宋体" w:hAnsi="宋体" w:eastAsia="宋体" w:cs="宋体"/>
          <w:b w:val="0"/>
          <w:bCs/>
          <w:color w:val="auto"/>
          <w:sz w:val="24"/>
          <w:szCs w:val="24"/>
          <w:highlight w:val="yellow"/>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宋体" w:hAnsi="宋体" w:eastAsia="宋体" w:cs="宋体"/>
          <w:sz w:val="24"/>
          <w:szCs w:val="24"/>
          <w:highlight w:val="yellow"/>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360" w:lineRule="auto"/>
        <w:ind w:left="150" w:leftChars="0" w:firstLine="480" w:firstLineChars="0"/>
        <w:textAlignment w:val="auto"/>
        <w:rPr>
          <w:rFonts w:hint="eastAsia"/>
          <w:b/>
          <w:bCs w:val="0"/>
          <w:sz w:val="24"/>
          <w:szCs w:val="24"/>
          <w:highlight w:val="none"/>
          <w:lang w:val="en-US" w:eastAsia="zh-CN"/>
        </w:rPr>
      </w:pPr>
      <w:r>
        <w:rPr>
          <w:rFonts w:hint="eastAsia"/>
          <w:b/>
          <w:bCs w:val="0"/>
          <w:sz w:val="24"/>
          <w:szCs w:val="24"/>
          <w:highlight w:val="none"/>
          <w:lang w:val="en-US" w:eastAsia="zh-CN"/>
        </w:rPr>
        <w:t>技术标：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b w:val="0"/>
          <w:bCs/>
          <w:sz w:val="24"/>
          <w:szCs w:val="24"/>
          <w:highlight w:val="none"/>
          <w:lang w:val="en-US" w:eastAsia="zh-CN"/>
        </w:rPr>
      </w:pPr>
      <w:r>
        <w:rPr>
          <w:rFonts w:hint="eastAsia"/>
          <w:b w:val="0"/>
          <w:bCs/>
          <w:sz w:val="24"/>
          <w:szCs w:val="24"/>
          <w:highlight w:val="none"/>
          <w:lang w:val="en-US" w:eastAsia="zh-CN"/>
        </w:rPr>
        <w:t>1、参见本文件将“评分规则”，自行准备相关文件</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三</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ascii="宋体" w:hAnsi="宋体" w:cs="宋体"/>
          <w:sz w:val="24"/>
          <w:highlight w:val="none"/>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pStyle w:val="6"/>
        <w:rPr>
          <w:rFonts w:hint="eastAsia"/>
          <w:lang w:eastAsia="zh-CN"/>
        </w:rPr>
      </w:pP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highlight w:val="none"/>
        </w:rPr>
      </w:pPr>
      <w:r>
        <w:rPr>
          <w:rFonts w:hint="eastAsia" w:cs="宋体" w:asciiTheme="minorEastAsia" w:hAnsiTheme="minorEastAsia" w:eastAsiaTheme="minorEastAsia"/>
          <w:b w:val="0"/>
          <w:bCs w:val="0"/>
          <w:kern w:val="0"/>
          <w:sz w:val="24"/>
          <w:szCs w:val="24"/>
          <w:highlight w:val="none"/>
          <w:lang w:val="zh-CN"/>
        </w:rPr>
        <w:t>1、本</w:t>
      </w:r>
      <w:r>
        <w:rPr>
          <w:rFonts w:hint="eastAsia" w:cs="宋体" w:asciiTheme="minorEastAsia" w:hAnsiTheme="minorEastAsia"/>
          <w:b w:val="0"/>
          <w:bCs w:val="0"/>
          <w:kern w:val="0"/>
          <w:sz w:val="24"/>
          <w:szCs w:val="24"/>
          <w:highlight w:val="none"/>
          <w:lang w:val="zh-CN"/>
        </w:rPr>
        <w:t>项目</w:t>
      </w:r>
      <w:r>
        <w:rPr>
          <w:rFonts w:hint="eastAsia" w:cs="宋体" w:asciiTheme="minorEastAsia" w:hAnsiTheme="minorEastAsia" w:eastAsiaTheme="minorEastAsia"/>
          <w:b w:val="0"/>
          <w:bCs w:val="0"/>
          <w:kern w:val="0"/>
          <w:sz w:val="24"/>
          <w:szCs w:val="24"/>
          <w:highlight w:val="none"/>
          <w:lang w:val="zh-CN"/>
        </w:rPr>
        <w:t>投标</w:t>
      </w:r>
      <w:r>
        <w:rPr>
          <w:rFonts w:hint="eastAsia" w:asciiTheme="minorEastAsia" w:hAnsiTheme="minorEastAsia" w:eastAsiaTheme="minorEastAsia"/>
          <w:bCs/>
          <w:color w:val="000000"/>
          <w:kern w:val="0"/>
          <w:sz w:val="24"/>
          <w:szCs w:val="24"/>
          <w:highlight w:val="none"/>
        </w:rPr>
        <w:t>文</w:t>
      </w:r>
      <w:r>
        <w:rPr>
          <w:rFonts w:hint="eastAsia" w:asciiTheme="minorEastAsia" w:hAnsiTheme="minorEastAsia" w:eastAsiaTheme="minorEastAsia"/>
          <w:bCs/>
          <w:kern w:val="0"/>
          <w:sz w:val="24"/>
          <w:szCs w:val="24"/>
          <w:highlight w:val="none"/>
        </w:rPr>
        <w:t>件由</w:t>
      </w:r>
      <w:r>
        <w:rPr>
          <w:rFonts w:hint="eastAsia" w:asciiTheme="minorEastAsia" w:hAnsiTheme="minorEastAsia" w:eastAsiaTheme="minorEastAsia"/>
          <w:kern w:val="0"/>
          <w:sz w:val="24"/>
          <w:szCs w:val="24"/>
          <w:highlight w:val="yellow"/>
          <w:u w:val="single"/>
        </w:rPr>
        <w:t>资格审查文件、</w:t>
      </w:r>
      <w:r>
        <w:rPr>
          <w:rFonts w:hint="eastAsia" w:asciiTheme="minorEastAsia" w:hAnsiTheme="minorEastAsia"/>
          <w:kern w:val="0"/>
          <w:sz w:val="24"/>
          <w:szCs w:val="24"/>
          <w:highlight w:val="yellow"/>
          <w:u w:val="single"/>
          <w:lang w:val="en-US" w:eastAsia="zh-CN"/>
        </w:rPr>
        <w:t>技术标、</w:t>
      </w:r>
      <w:r>
        <w:rPr>
          <w:rFonts w:hint="eastAsia" w:asciiTheme="minorEastAsia" w:hAnsiTheme="minorEastAsia" w:eastAsiaTheme="minorEastAsia"/>
          <w:kern w:val="0"/>
          <w:sz w:val="24"/>
          <w:szCs w:val="24"/>
          <w:highlight w:val="yellow"/>
          <w:u w:val="single"/>
        </w:rPr>
        <w:t>商务标</w:t>
      </w:r>
      <w:r>
        <w:rPr>
          <w:rFonts w:hint="eastAsia" w:asciiTheme="minorEastAsia" w:hAnsiTheme="minorEastAsia"/>
          <w:bCs/>
          <w:kern w:val="0"/>
          <w:sz w:val="24"/>
          <w:szCs w:val="24"/>
          <w:highlight w:val="yellow"/>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组成。</w:t>
      </w:r>
      <w:r>
        <w:rPr>
          <w:rFonts w:asciiTheme="minorEastAsia" w:hAnsiTheme="minorEastAsia" w:eastAsiaTheme="minorEastAsia"/>
          <w:bCs/>
          <w:color w:val="000000"/>
          <w:kern w:val="0"/>
          <w:sz w:val="24"/>
          <w:szCs w:val="24"/>
          <w:highlight w:val="none"/>
        </w:rPr>
        <w:t>资格审查</w:t>
      </w:r>
      <w:r>
        <w:rPr>
          <w:rFonts w:hint="eastAsia" w:asciiTheme="minorEastAsia" w:hAnsiTheme="minorEastAsia" w:eastAsiaTheme="minorEastAsia"/>
          <w:bCs/>
          <w:color w:val="000000"/>
          <w:kern w:val="0"/>
          <w:sz w:val="24"/>
          <w:szCs w:val="24"/>
          <w:highlight w:val="none"/>
        </w:rPr>
        <w:t>文件（</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w:t>
      </w:r>
      <w:r>
        <w:rPr>
          <w:rFonts w:hint="eastAsia" w:asciiTheme="minorEastAsia" w:hAnsiTheme="minorEastAsia"/>
          <w:bCs/>
          <w:color w:val="000000"/>
          <w:kern w:val="0"/>
          <w:sz w:val="24"/>
          <w:szCs w:val="24"/>
          <w:highlight w:val="none"/>
          <w:lang w:val="en-US" w:eastAsia="zh-CN"/>
        </w:rPr>
        <w:t>技术</w:t>
      </w:r>
      <w:r>
        <w:rPr>
          <w:rFonts w:asciiTheme="minorEastAsia" w:hAnsiTheme="minorEastAsia" w:eastAsiaTheme="minorEastAsia"/>
          <w:bCs/>
          <w:color w:val="000000"/>
          <w:kern w:val="0"/>
          <w:sz w:val="24"/>
          <w:szCs w:val="24"/>
          <w:highlight w:val="none"/>
        </w:rPr>
        <w:t>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hint="eastAsia" w:asciiTheme="minorEastAsia" w:hAnsiTheme="minorEastAsia"/>
          <w:bCs/>
          <w:color w:val="000000"/>
          <w:kern w:val="0"/>
          <w:sz w:val="24"/>
          <w:szCs w:val="24"/>
          <w:highlight w:val="none"/>
          <w:lang w:eastAsia="zh-CN"/>
        </w:rPr>
        <w:t>；</w:t>
      </w:r>
      <w:r>
        <w:rPr>
          <w:rFonts w:asciiTheme="minorEastAsia" w:hAnsiTheme="minorEastAsia" w:eastAsiaTheme="minorEastAsia"/>
          <w:bCs/>
          <w:color w:val="000000"/>
          <w:kern w:val="0"/>
          <w:sz w:val="24"/>
          <w:szCs w:val="24"/>
          <w:highlight w:val="none"/>
        </w:rPr>
        <w:t>商务标</w:t>
      </w:r>
      <w:r>
        <w:rPr>
          <w:rFonts w:hint="eastAsia" w:asciiTheme="minorEastAsia" w:hAnsiTheme="minorEastAsia" w:eastAsiaTheme="minorEastAsia"/>
          <w:bCs/>
          <w:color w:val="000000"/>
          <w:kern w:val="0"/>
          <w:sz w:val="24"/>
          <w:szCs w:val="24"/>
          <w:highlight w:val="none"/>
        </w:rPr>
        <w:t>（</w:t>
      </w:r>
      <w:r>
        <w:rPr>
          <w:rFonts w:asciiTheme="minorEastAsia" w:hAnsiTheme="minorEastAsia" w:eastAsiaTheme="minorEastAsia"/>
          <w:bCs/>
          <w:color w:val="000000"/>
          <w:kern w:val="0"/>
          <w:sz w:val="24"/>
          <w:szCs w:val="24"/>
          <w:highlight w:val="none"/>
        </w:rPr>
        <w:t>壹</w:t>
      </w:r>
      <w:r>
        <w:rPr>
          <w:rFonts w:hint="eastAsia" w:asciiTheme="minorEastAsia" w:hAnsiTheme="minorEastAsia" w:eastAsiaTheme="minorEastAsia"/>
          <w:bCs/>
          <w:color w:val="000000"/>
          <w:kern w:val="0"/>
          <w:sz w:val="24"/>
          <w:szCs w:val="24"/>
          <w:highlight w:val="none"/>
        </w:rPr>
        <w:t>式</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贰</w:t>
      </w:r>
      <w:r>
        <w:rPr>
          <w:rFonts w:hint="eastAsia" w:asciiTheme="minorEastAsia" w:hAnsiTheme="minorEastAsia" w:eastAsiaTheme="minorEastAsia"/>
          <w:bCs/>
          <w:color w:val="000000"/>
          <w:kern w:val="0"/>
          <w:sz w:val="24"/>
          <w:szCs w:val="24"/>
          <w:highlight w:val="none"/>
        </w:rPr>
        <w:t>份，其中</w:t>
      </w:r>
      <w:r>
        <w:rPr>
          <w:rFonts w:asciiTheme="minorEastAsia" w:hAnsiTheme="minorEastAsia" w:eastAsiaTheme="minorEastAsia"/>
          <w:bCs/>
          <w:color w:val="000000"/>
          <w:kern w:val="0"/>
          <w:sz w:val="24"/>
          <w:szCs w:val="24"/>
          <w:highlight w:val="none"/>
        </w:rPr>
        <w:t>正本</w:t>
      </w:r>
      <w:r>
        <w:rPr>
          <w:rFonts w:asciiTheme="minorEastAsia" w:hAnsiTheme="minorEastAsia" w:eastAsiaTheme="minorEastAsia"/>
          <w:bCs/>
          <w:color w:val="000000"/>
          <w:kern w:val="0"/>
          <w:sz w:val="24"/>
          <w:szCs w:val="24"/>
          <w:highlight w:val="none"/>
          <w:u w:val="single"/>
        </w:rPr>
        <w:t xml:space="preserve">  壹  </w:t>
      </w:r>
      <w:r>
        <w:rPr>
          <w:rFonts w:asciiTheme="minorEastAsia" w:hAnsiTheme="minorEastAsia" w:eastAsiaTheme="minorEastAsia"/>
          <w:bCs/>
          <w:color w:val="000000"/>
          <w:kern w:val="0"/>
          <w:sz w:val="24"/>
          <w:szCs w:val="24"/>
          <w:highlight w:val="none"/>
        </w:rPr>
        <w:t>份</w:t>
      </w:r>
      <w:r>
        <w:rPr>
          <w:rFonts w:hint="eastAsia" w:asciiTheme="minorEastAsia" w:hAnsiTheme="minorEastAsia" w:eastAsiaTheme="minorEastAsia"/>
          <w:bCs/>
          <w:color w:val="000000"/>
          <w:kern w:val="0"/>
          <w:sz w:val="24"/>
          <w:szCs w:val="24"/>
          <w:highlight w:val="none"/>
        </w:rPr>
        <w:t>，副本</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bCs/>
          <w:color w:val="000000"/>
          <w:kern w:val="0"/>
          <w:sz w:val="24"/>
          <w:szCs w:val="24"/>
          <w:highlight w:val="none"/>
          <w:u w:val="single"/>
          <w:lang w:val="en-US" w:eastAsia="zh-CN"/>
        </w:rPr>
        <w:t>壹</w:t>
      </w:r>
      <w:r>
        <w:rPr>
          <w:rFonts w:hint="eastAsia" w:asciiTheme="minorEastAsia" w:hAnsiTheme="minorEastAsia" w:eastAsiaTheme="minorEastAsia"/>
          <w:bCs/>
          <w:color w:val="000000"/>
          <w:kern w:val="0"/>
          <w:sz w:val="24"/>
          <w:szCs w:val="24"/>
          <w:highlight w:val="none"/>
          <w:u w:val="single"/>
        </w:rPr>
        <w:t xml:space="preserve"> </w:t>
      </w:r>
      <w:r>
        <w:rPr>
          <w:rFonts w:hint="eastAsia" w:asciiTheme="minorEastAsia" w:hAnsiTheme="minorEastAsia" w:eastAsiaTheme="minorEastAsia"/>
          <w:bCs/>
          <w:color w:val="000000"/>
          <w:kern w:val="0"/>
          <w:sz w:val="24"/>
          <w:szCs w:val="24"/>
          <w:highlight w:val="none"/>
        </w:rPr>
        <w:t>份，并分别标注）。</w:t>
      </w:r>
      <w:r>
        <w:rPr>
          <w:rFonts w:asciiTheme="minorEastAsia" w:hAnsiTheme="minorEastAsia" w:eastAsiaTheme="minorEastAsia"/>
          <w:bCs/>
          <w:color w:val="000000"/>
          <w:kern w:val="0"/>
          <w:sz w:val="24"/>
          <w:szCs w:val="24"/>
          <w:highlight w:val="none"/>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asciiTheme="minorEastAsia" w:hAnsiTheme="minorEastAsia" w:eastAsiaTheme="minorEastAsia"/>
          <w:bCs/>
          <w:color w:val="000000"/>
          <w:kern w:val="0"/>
          <w:sz w:val="24"/>
          <w:szCs w:val="24"/>
          <w:highlight w:val="none"/>
        </w:rPr>
        <w:t>2、</w:t>
      </w:r>
      <w:r>
        <w:rPr>
          <w:rFonts w:hint="eastAsia" w:asciiTheme="minorEastAsia" w:hAnsiTheme="minorEastAsia" w:eastAsiaTheme="minorEastAsia"/>
          <w:bCs/>
          <w:kern w:val="0"/>
          <w:sz w:val="24"/>
          <w:szCs w:val="24"/>
          <w:highlight w:val="yellow"/>
          <w:u w:val="single"/>
        </w:rPr>
        <w:t>资格审查文件、</w:t>
      </w:r>
      <w:r>
        <w:rPr>
          <w:rFonts w:hint="eastAsia" w:asciiTheme="minorEastAsia" w:hAnsiTheme="minorEastAsia"/>
          <w:bCs/>
          <w:kern w:val="0"/>
          <w:sz w:val="24"/>
          <w:szCs w:val="24"/>
          <w:highlight w:val="yellow"/>
          <w:u w:val="single"/>
          <w:lang w:val="en-US" w:eastAsia="zh-CN"/>
        </w:rPr>
        <w:t>技术标、</w:t>
      </w:r>
      <w:r>
        <w:rPr>
          <w:rFonts w:hint="eastAsia" w:asciiTheme="minorEastAsia" w:hAnsiTheme="minorEastAsia" w:eastAsiaTheme="minorEastAsia"/>
          <w:bCs/>
          <w:kern w:val="0"/>
          <w:sz w:val="24"/>
          <w:szCs w:val="24"/>
          <w:highlight w:val="yellow"/>
          <w:u w:val="single"/>
        </w:rPr>
        <w:t>商务标</w:t>
      </w:r>
      <w:r>
        <w:rPr>
          <w:rFonts w:hint="eastAsia" w:asciiTheme="minorEastAsia" w:hAnsiTheme="minorEastAsia"/>
          <w:bCs/>
          <w:kern w:val="0"/>
          <w:sz w:val="24"/>
          <w:szCs w:val="24"/>
          <w:highlight w:val="yellow"/>
          <w:u w:val="single"/>
          <w:lang w:val="en-US" w:eastAsia="zh-CN"/>
        </w:rPr>
        <w:t>三</w:t>
      </w:r>
      <w:r>
        <w:rPr>
          <w:rFonts w:hint="eastAsia" w:asciiTheme="minorEastAsia" w:hAnsiTheme="minorEastAsia" w:eastAsiaTheme="minorEastAsia"/>
          <w:bCs/>
          <w:kern w:val="0"/>
          <w:sz w:val="24"/>
          <w:szCs w:val="24"/>
          <w:highlight w:val="yellow"/>
        </w:rPr>
        <w:t>部分</w:t>
      </w:r>
      <w:r>
        <w:rPr>
          <w:rFonts w:hint="eastAsia" w:asciiTheme="minorEastAsia" w:hAnsiTheme="minorEastAsia" w:eastAsiaTheme="minorEastAsia"/>
          <w:bCs/>
          <w:kern w:val="0"/>
          <w:sz w:val="24"/>
          <w:szCs w:val="24"/>
          <w:highlight w:val="none"/>
        </w:rPr>
        <w:t>，必须</w:t>
      </w:r>
      <w:r>
        <w:rPr>
          <w:rFonts w:hint="eastAsia" w:asciiTheme="minorEastAsia" w:hAnsiTheme="minorEastAsia" w:eastAsiaTheme="minorEastAsia"/>
          <w:bCs/>
          <w:kern w:val="0"/>
          <w:sz w:val="24"/>
          <w:szCs w:val="24"/>
          <w:highlight w:val="none"/>
          <w:u w:val="single"/>
        </w:rPr>
        <w:t>分袋密封</w:t>
      </w:r>
      <w:r>
        <w:rPr>
          <w:rFonts w:hint="eastAsia" w:asciiTheme="minorEastAsia" w:hAnsiTheme="minorEastAsia" w:eastAsiaTheme="minorEastAsia"/>
          <w:bCs/>
          <w:kern w:val="0"/>
          <w:sz w:val="24"/>
          <w:szCs w:val="24"/>
          <w:highlight w:val="none"/>
        </w:rPr>
        <w:t>，并在封袋上加盖投标人单位公章和单位法定代表人章，另须在封袋上标明“资格审查文件”、</w:t>
      </w:r>
      <w:r>
        <w:rPr>
          <w:rFonts w:hint="eastAsia" w:asciiTheme="minorEastAsia" w:hAnsiTheme="minorEastAsia"/>
          <w:bCs/>
          <w:kern w:val="0"/>
          <w:sz w:val="24"/>
          <w:szCs w:val="24"/>
          <w:highlight w:val="none"/>
          <w:lang w:eastAsia="zh-CN"/>
        </w:rPr>
        <w:t>“</w:t>
      </w:r>
      <w:r>
        <w:rPr>
          <w:rFonts w:hint="eastAsia" w:asciiTheme="minorEastAsia" w:hAnsiTheme="minorEastAsia"/>
          <w:bCs/>
          <w:kern w:val="0"/>
          <w:sz w:val="24"/>
          <w:szCs w:val="24"/>
          <w:highlight w:val="none"/>
          <w:lang w:val="en-US" w:eastAsia="zh-CN"/>
        </w:rPr>
        <w:t>技术标</w:t>
      </w:r>
      <w:r>
        <w:rPr>
          <w:rFonts w:hint="eastAsia" w:asciiTheme="minorEastAsia" w:hAnsiTheme="minorEastAsia"/>
          <w:bCs/>
          <w:kern w:val="0"/>
          <w:sz w:val="24"/>
          <w:szCs w:val="24"/>
          <w:highlight w:val="none"/>
          <w:lang w:eastAsia="zh-CN"/>
        </w:rPr>
        <w:t>”、</w:t>
      </w:r>
      <w:r>
        <w:rPr>
          <w:rFonts w:hint="eastAsia" w:asciiTheme="minorEastAsia" w:hAnsiTheme="minorEastAsia" w:eastAsiaTheme="minorEastAsia"/>
          <w:bCs/>
          <w:kern w:val="0"/>
          <w:sz w:val="24"/>
          <w:szCs w:val="24"/>
          <w:highlight w:val="none"/>
        </w:rPr>
        <w:t>“商务标”，同时还要写明招标人名称、</w:t>
      </w:r>
      <w:r>
        <w:rPr>
          <w:rFonts w:hint="eastAsia" w:asciiTheme="minorEastAsia" w:hAnsiTheme="minorEastAsia" w:eastAsiaTheme="minorEastAsia"/>
          <w:bCs/>
          <w:kern w:val="0"/>
          <w:sz w:val="24"/>
          <w:szCs w:val="24"/>
          <w:highlight w:val="none"/>
          <w:lang w:eastAsia="zh-CN"/>
        </w:rPr>
        <w:t>项目</w:t>
      </w:r>
      <w:r>
        <w:rPr>
          <w:rFonts w:hint="eastAsia" w:asciiTheme="minorEastAsia" w:hAnsiTheme="minorEastAsia" w:eastAsiaTheme="minorEastAsia"/>
          <w:bCs/>
          <w:kern w:val="0"/>
          <w:sz w:val="24"/>
          <w:szCs w:val="24"/>
          <w:highlight w:val="none"/>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3、</w:t>
      </w:r>
      <w:r>
        <w:rPr>
          <w:rFonts w:hint="eastAsia" w:asciiTheme="minorEastAsia" w:hAnsiTheme="minorEastAsia" w:eastAsiaTheme="minorEastAsia"/>
          <w:sz w:val="24"/>
          <w:szCs w:val="24"/>
          <w:highlight w:val="none"/>
        </w:rPr>
        <w:t>投标文件递交截止时间：</w:t>
      </w:r>
      <w:r>
        <w:rPr>
          <w:rFonts w:hint="eastAsia" w:asciiTheme="minorEastAsia" w:hAnsiTheme="minorEastAsia" w:eastAsiaTheme="minorEastAsia"/>
          <w:b/>
          <w:sz w:val="24"/>
          <w:szCs w:val="24"/>
          <w:highlight w:val="none"/>
          <w:u w:val="single"/>
        </w:rPr>
        <w:t>202</w:t>
      </w:r>
      <w:r>
        <w:rPr>
          <w:rFonts w:hint="eastAsia" w:asciiTheme="minorEastAsia" w:hAnsiTheme="minorEastAsia"/>
          <w:b/>
          <w:sz w:val="24"/>
          <w:szCs w:val="24"/>
          <w:highlight w:val="none"/>
          <w:u w:val="single"/>
          <w:lang w:val="en-US" w:eastAsia="zh-CN"/>
        </w:rPr>
        <w:t>3</w:t>
      </w:r>
      <w:r>
        <w:rPr>
          <w:rFonts w:hint="eastAsia" w:asciiTheme="minorEastAsia" w:hAnsiTheme="minorEastAsia" w:eastAsiaTheme="minorEastAsia"/>
          <w:b/>
          <w:sz w:val="24"/>
          <w:szCs w:val="24"/>
          <w:highlight w:val="none"/>
        </w:rPr>
        <w:t>年</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8 </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eastAsiaTheme="minorEastAsia"/>
          <w:b/>
          <w:sz w:val="24"/>
          <w:szCs w:val="24"/>
          <w:highlight w:val="none"/>
        </w:rPr>
        <w:t>月</w:t>
      </w:r>
      <w:r>
        <w:rPr>
          <w:rFonts w:hint="eastAsia" w:asciiTheme="minorEastAsia" w:hAnsiTheme="minorEastAsia" w:eastAsiaTheme="minorEastAsia"/>
          <w:b/>
          <w:sz w:val="24"/>
          <w:szCs w:val="24"/>
          <w:highlight w:val="none"/>
          <w:u w:val="single"/>
          <w:lang w:val="en-US" w:eastAsia="zh-CN"/>
        </w:rPr>
        <w:t xml:space="preserve"> </w:t>
      </w:r>
      <w:r>
        <w:rPr>
          <w:rFonts w:hint="eastAsia" w:asciiTheme="minorEastAsia" w:hAnsiTheme="minorEastAsia"/>
          <w:b/>
          <w:sz w:val="24"/>
          <w:szCs w:val="24"/>
          <w:highlight w:val="none"/>
          <w:u w:val="single"/>
          <w:lang w:val="en-US" w:eastAsia="zh-CN"/>
        </w:rPr>
        <w:t xml:space="preserve"> 30  </w:t>
      </w:r>
      <w:r>
        <w:rPr>
          <w:rFonts w:hint="eastAsia" w:asciiTheme="minorEastAsia" w:hAnsiTheme="minorEastAsia" w:eastAsiaTheme="minorEastAsia"/>
          <w:b/>
          <w:sz w:val="24"/>
          <w:szCs w:val="24"/>
          <w:highlight w:val="none"/>
        </w:rPr>
        <w:t>日</w:t>
      </w:r>
      <w:r>
        <w:rPr>
          <w:rFonts w:hint="eastAsia" w:asciiTheme="minorEastAsia" w:hAnsiTheme="minorEastAsia" w:eastAsiaTheme="minorEastAsia"/>
          <w:b/>
          <w:sz w:val="24"/>
          <w:szCs w:val="24"/>
          <w:highlight w:val="none"/>
          <w:u w:val="single"/>
          <w:lang w:val="en-US" w:eastAsia="zh-CN"/>
        </w:rPr>
        <w:t>1</w:t>
      </w:r>
      <w:r>
        <w:rPr>
          <w:rFonts w:hint="eastAsia" w:asciiTheme="minorEastAsia" w:hAnsiTheme="minorEastAsia"/>
          <w:b/>
          <w:sz w:val="24"/>
          <w:szCs w:val="24"/>
          <w:highlight w:val="none"/>
          <w:u w:val="single"/>
          <w:lang w:val="en-US" w:eastAsia="zh-CN"/>
        </w:rPr>
        <w:t>0</w:t>
      </w:r>
      <w:r>
        <w:rPr>
          <w:rFonts w:hint="eastAsia" w:cs="宋体" w:asciiTheme="minorEastAsia" w:hAnsiTheme="minorEastAsia" w:eastAsiaTheme="minorEastAsia"/>
          <w:b/>
          <w:kern w:val="0"/>
          <w:sz w:val="24"/>
          <w:szCs w:val="24"/>
          <w:highlight w:val="none"/>
          <w:lang w:val="zh-CN"/>
        </w:rPr>
        <w:t>时</w:t>
      </w:r>
      <w:r>
        <w:rPr>
          <w:rFonts w:hint="eastAsia" w:asciiTheme="minorEastAsia" w:hAnsiTheme="minorEastAsia" w:eastAsiaTheme="minorEastAsia"/>
          <w:b/>
          <w:sz w:val="24"/>
          <w:szCs w:val="24"/>
          <w:highlight w:val="none"/>
          <w:u w:val="single"/>
          <w:lang w:val="en-US" w:eastAsia="zh-CN"/>
        </w:rPr>
        <w:t>00</w:t>
      </w:r>
      <w:r>
        <w:rPr>
          <w:rFonts w:hint="eastAsia" w:cs="宋体" w:asciiTheme="minorEastAsia" w:hAnsiTheme="minorEastAsia" w:eastAsiaTheme="minorEastAsia"/>
          <w:b/>
          <w:kern w:val="0"/>
          <w:sz w:val="24"/>
          <w:szCs w:val="24"/>
          <w:highlight w:val="non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highlight w:val="none"/>
          <w:lang w:val="zh-CN" w:eastAsia="zh-CN" w:bidi="ar-SA"/>
        </w:rPr>
      </w:pPr>
      <w:r>
        <w:rPr>
          <w:rFonts w:hint="eastAsia" w:cs="Times New Roman" w:asciiTheme="minorEastAsia" w:hAnsiTheme="minorEastAsia" w:eastAsiaTheme="minorEastAsia"/>
          <w:bCs/>
          <w:color w:val="000000"/>
          <w:kern w:val="0"/>
          <w:sz w:val="24"/>
          <w:szCs w:val="24"/>
          <w:highlight w:val="none"/>
          <w:lang w:val="en-US" w:eastAsia="zh-CN" w:bidi="ar-SA"/>
        </w:rPr>
        <w:t>1）</w:t>
      </w:r>
      <w:r>
        <w:rPr>
          <w:rFonts w:hint="eastAsia" w:cs="Times New Roman" w:asciiTheme="minorEastAsia" w:hAnsiTheme="minorEastAsia" w:eastAsiaTheme="minorEastAsia"/>
          <w:bCs/>
          <w:color w:val="000000"/>
          <w:kern w:val="0"/>
          <w:sz w:val="24"/>
          <w:szCs w:val="24"/>
          <w:highlight w:val="none"/>
          <w:lang w:val="zh-CN" w:eastAsia="zh-CN" w:bidi="ar-SA"/>
        </w:rPr>
        <w:t>由于疫情原因，投标人将投标文件以邮寄（仅限邮政EMS或顺丰速运）的方式递交给招标单位，邮寄地址：江苏省南通市跃龙南路508号滨江洲际酒店采购部，</w:t>
      </w:r>
      <w:r>
        <w:rPr>
          <w:rFonts w:hint="eastAsia" w:cs="Times New Roman" w:asciiTheme="minorEastAsia" w:hAnsiTheme="minorEastAsia" w:eastAsiaTheme="minorEastAsia"/>
          <w:b/>
          <w:bCs w:val="0"/>
          <w:color w:val="000000"/>
          <w:kern w:val="0"/>
          <w:sz w:val="24"/>
          <w:szCs w:val="24"/>
          <w:highlight w:val="none"/>
          <w:lang w:val="zh-CN" w:eastAsia="zh-CN" w:bidi="ar-SA"/>
        </w:rPr>
        <w:t>收件人：山女士，联系方式：</w:t>
      </w:r>
      <w:r>
        <w:rPr>
          <w:rFonts w:hint="eastAsia" w:cs="Times New Roman" w:asciiTheme="minorEastAsia" w:hAnsiTheme="minorEastAsia" w:eastAsiaTheme="minorEastAsia"/>
          <w:b/>
          <w:bCs w:val="0"/>
          <w:color w:val="000000"/>
          <w:kern w:val="0"/>
          <w:sz w:val="24"/>
          <w:szCs w:val="24"/>
          <w:highlight w:val="none"/>
          <w:lang w:val="en-US" w:eastAsia="zh-CN" w:bidi="ar-SA"/>
        </w:rPr>
        <w:t>18993952719</w:t>
      </w:r>
      <w:r>
        <w:rPr>
          <w:rFonts w:hint="eastAsia" w:cs="Times New Roman" w:asciiTheme="minorEastAsia" w:hAnsiTheme="minorEastAsia" w:eastAsiaTheme="minorEastAsia"/>
          <w:bCs/>
          <w:color w:val="000000"/>
          <w:kern w:val="0"/>
          <w:sz w:val="24"/>
          <w:szCs w:val="24"/>
          <w:highlight w:val="none"/>
          <w:lang w:val="zh-CN" w:eastAsia="zh-CN" w:bidi="ar-SA"/>
        </w:rPr>
        <w:t>。请各投标人充分考虑快递的配送时效，投标文件接收时间以快递送达并签收时间为准，若投标文件在</w:t>
      </w:r>
      <w:r>
        <w:rPr>
          <w:rFonts w:hint="eastAsia" w:cs="Times New Roman" w:asciiTheme="minorEastAsia" w:hAnsiTheme="minorEastAsia" w:eastAsiaTheme="minorEastAsia"/>
          <w:b/>
          <w:bCs w:val="0"/>
          <w:color w:val="000000"/>
          <w:kern w:val="0"/>
          <w:sz w:val="24"/>
          <w:szCs w:val="24"/>
          <w:highlight w:val="none"/>
          <w:u w:val="single"/>
          <w:lang w:val="zh-CN" w:eastAsia="zh-CN" w:bidi="ar-SA"/>
        </w:rPr>
        <w:t>202</w:t>
      </w:r>
      <w:r>
        <w:rPr>
          <w:rFonts w:hint="eastAsia" w:cs="Times New Roman" w:asciiTheme="minorEastAsia" w:hAnsiTheme="minorEastAsia"/>
          <w:b/>
          <w:bCs w:val="0"/>
          <w:color w:val="000000"/>
          <w:kern w:val="0"/>
          <w:sz w:val="24"/>
          <w:szCs w:val="24"/>
          <w:highlight w:val="none"/>
          <w:u w:val="single"/>
          <w:lang w:val="en-US" w:eastAsia="zh-CN" w:bidi="ar-SA"/>
        </w:rPr>
        <w:t>3</w:t>
      </w:r>
      <w:r>
        <w:rPr>
          <w:rFonts w:hint="eastAsia" w:cs="Times New Roman" w:asciiTheme="minorEastAsia" w:hAnsiTheme="minorEastAsia" w:eastAsiaTheme="minorEastAsia"/>
          <w:b/>
          <w:bCs w:val="0"/>
          <w:color w:val="000000"/>
          <w:kern w:val="0"/>
          <w:sz w:val="24"/>
          <w:szCs w:val="24"/>
          <w:highlight w:val="none"/>
          <w:lang w:val="zh-CN" w:eastAsia="zh-CN" w:bidi="ar-SA"/>
        </w:rPr>
        <w:t>年</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8 </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月</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b/>
          <w:bCs w:val="0"/>
          <w:color w:val="000000"/>
          <w:kern w:val="0"/>
          <w:sz w:val="24"/>
          <w:szCs w:val="24"/>
          <w:highlight w:val="none"/>
          <w:u w:val="single"/>
          <w:lang w:val="en-US" w:eastAsia="zh-CN" w:bidi="ar-SA"/>
        </w:rPr>
        <w:t xml:space="preserve">  30</w:t>
      </w:r>
      <w:bookmarkStart w:id="3" w:name="_GoBack"/>
      <w:bookmarkEnd w:id="3"/>
      <w:r>
        <w:rPr>
          <w:rFonts w:hint="eastAsia" w:cs="Times New Roman" w:asciiTheme="minorEastAsia" w:hAnsiTheme="minorEastAsia" w:eastAsiaTheme="minorEastAsia"/>
          <w:b/>
          <w:bCs w:val="0"/>
          <w:color w:val="000000"/>
          <w:kern w:val="0"/>
          <w:sz w:val="24"/>
          <w:szCs w:val="24"/>
          <w:highlight w:val="none"/>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none"/>
          <w:lang w:val="zh-CN" w:eastAsia="zh-CN" w:bidi="ar-SA"/>
        </w:rPr>
        <w:t>日</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1</w:t>
      </w:r>
      <w:r>
        <w:rPr>
          <w:rFonts w:hint="eastAsia" w:cs="Times New Roman" w:asciiTheme="minorEastAsia" w:hAnsiTheme="minorEastAsia"/>
          <w:b/>
          <w:bCs w:val="0"/>
          <w:color w:val="000000"/>
          <w:kern w:val="0"/>
          <w:sz w:val="24"/>
          <w:szCs w:val="24"/>
          <w:highlight w:val="none"/>
          <w:u w:val="single"/>
          <w:lang w:val="en-US" w:eastAsia="zh-CN" w:bidi="ar-SA"/>
        </w:rPr>
        <w:t>0</w:t>
      </w:r>
      <w:r>
        <w:rPr>
          <w:rFonts w:hint="eastAsia" w:cs="Times New Roman" w:asciiTheme="minorEastAsia" w:hAnsiTheme="minorEastAsia" w:eastAsiaTheme="minorEastAsia"/>
          <w:b/>
          <w:bCs w:val="0"/>
          <w:color w:val="000000"/>
          <w:kern w:val="0"/>
          <w:sz w:val="24"/>
          <w:szCs w:val="24"/>
          <w:highlight w:val="none"/>
          <w:lang w:val="zh-CN" w:eastAsia="zh-CN" w:bidi="ar-SA"/>
        </w:rPr>
        <w:t>时</w:t>
      </w:r>
      <w:r>
        <w:rPr>
          <w:rFonts w:hint="eastAsia" w:cs="Times New Roman" w:asciiTheme="minorEastAsia" w:hAnsiTheme="minorEastAsia" w:eastAsiaTheme="minorEastAsia"/>
          <w:b/>
          <w:bCs w:val="0"/>
          <w:color w:val="000000"/>
          <w:kern w:val="0"/>
          <w:sz w:val="24"/>
          <w:szCs w:val="24"/>
          <w:highlight w:val="none"/>
          <w:u w:val="single"/>
          <w:lang w:val="en-US" w:eastAsia="zh-CN" w:bidi="ar-SA"/>
        </w:rPr>
        <w:t>00</w:t>
      </w:r>
      <w:r>
        <w:rPr>
          <w:rFonts w:hint="eastAsia" w:cs="Times New Roman" w:asciiTheme="minorEastAsia" w:hAnsiTheme="minorEastAsia" w:eastAsiaTheme="minorEastAsia"/>
          <w:b/>
          <w:bCs w:val="0"/>
          <w:color w:val="000000"/>
          <w:kern w:val="0"/>
          <w:sz w:val="24"/>
          <w:szCs w:val="24"/>
          <w:highlight w:val="none"/>
          <w:lang w:val="zh-CN" w:eastAsia="zh-CN" w:bidi="ar-SA"/>
        </w:rPr>
        <w:t>分</w:t>
      </w:r>
      <w:r>
        <w:rPr>
          <w:rFonts w:hint="eastAsia" w:cs="Times New Roman" w:asciiTheme="minorEastAsia" w:hAnsiTheme="minorEastAsia" w:eastAsiaTheme="minorEastAsia"/>
          <w:bCs/>
          <w:color w:val="000000"/>
          <w:kern w:val="0"/>
          <w:sz w:val="24"/>
          <w:szCs w:val="24"/>
          <w:highlight w:val="none"/>
          <w:lang w:val="zh-CN" w:eastAsia="zh-CN" w:bidi="ar-SA"/>
        </w:rPr>
        <w:t>前未送达的，其投标文件将被拒绝。（请各投标人申请材料寄出后一定和收件人确认签收情况，否则由此导致的后果由投标人自行承担）。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highlight w:val="none"/>
        </w:rPr>
      </w:pPr>
      <w:r>
        <w:rPr>
          <w:rFonts w:hint="eastAsia" w:cs="Times New Roman" w:asciiTheme="minorEastAsia" w:hAnsiTheme="minorEastAsia" w:eastAsiaTheme="minorEastAsia"/>
          <w:bCs/>
          <w:color w:val="000000"/>
          <w:kern w:val="0"/>
          <w:sz w:val="24"/>
          <w:szCs w:val="24"/>
          <w:highlight w:val="none"/>
          <w:lang w:val="en-US" w:eastAsia="zh-CN" w:bidi="ar-SA"/>
        </w:rPr>
        <w:t>2）</w:t>
      </w:r>
      <w:r>
        <w:rPr>
          <w:rFonts w:hint="eastAsia" w:cs="Times New Roman" w:asciiTheme="minorEastAsia" w:hAnsiTheme="minorEastAsia" w:eastAsiaTheme="minorEastAsia"/>
          <w:bCs/>
          <w:color w:val="000000"/>
          <w:kern w:val="0"/>
          <w:sz w:val="24"/>
          <w:szCs w:val="24"/>
          <w:highlight w:val="none"/>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highlight w:val="none"/>
          <w:lang w:val="zh-CN"/>
        </w:rPr>
        <w:t xml:space="preserve"> </w:t>
      </w:r>
    </w:p>
    <w:p>
      <w:pPr>
        <w:spacing w:line="360" w:lineRule="auto"/>
        <w:jc w:val="left"/>
        <w:rPr>
          <w:b/>
          <w:sz w:val="28"/>
          <w:szCs w:val="28"/>
          <w:highlight w:val="none"/>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锅炉水处理</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（资格审查资料/</w:t>
      </w:r>
      <w:r>
        <w:rPr>
          <w:rFonts w:hint="eastAsia" w:asciiTheme="minorEastAsia" w:hAnsiTheme="minorEastAsia"/>
          <w:b/>
          <w:bCs/>
          <w:sz w:val="44"/>
          <w:szCs w:val="44"/>
          <w:highlight w:val="none"/>
          <w:lang w:val="en-US" w:eastAsia="zh-CN"/>
        </w:rPr>
        <w:t>技术标/</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锅炉水处理</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8"/>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锅炉水处理</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锅炉水处理</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spacing w:line="360" w:lineRule="auto"/>
        <w:jc w:val="both"/>
        <w:rPr>
          <w:rFonts w:hint="eastAsia" w:asciiTheme="minorEastAsia" w:hAnsiTheme="minorEastAsia"/>
          <w:b/>
          <w:sz w:val="32"/>
          <w:szCs w:val="32"/>
          <w:highlight w:val="none"/>
          <w:lang w:val="en-US" w:eastAsia="zh-CN"/>
        </w:rPr>
      </w:pPr>
    </w:p>
    <w:p>
      <w:pPr>
        <w:pStyle w:val="6"/>
        <w:rPr>
          <w:rFonts w:hint="eastAsia" w:asciiTheme="minorEastAsia" w:hAnsiTheme="minorEastAsia"/>
          <w:b/>
          <w:sz w:val="32"/>
          <w:szCs w:val="32"/>
          <w:highlight w:val="none"/>
          <w:lang w:val="en-US" w:eastAsia="zh-CN"/>
        </w:rPr>
      </w:pP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七</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报</w:t>
      </w:r>
      <w:r>
        <w:rPr>
          <w:rFonts w:hint="eastAsia" w:asciiTheme="minorEastAsia" w:hAnsiTheme="minorEastAsia"/>
          <w:b/>
          <w:sz w:val="32"/>
          <w:szCs w:val="32"/>
          <w:highlight w:val="none"/>
          <w:lang w:val="en-US" w:eastAsia="zh-CN"/>
        </w:rPr>
        <w:t xml:space="preserve"> </w:t>
      </w:r>
      <w:r>
        <w:rPr>
          <w:rFonts w:hint="eastAsia" w:asciiTheme="minorEastAsia" w:hAnsiTheme="minorEastAsia"/>
          <w:b/>
          <w:sz w:val="32"/>
          <w:szCs w:val="32"/>
          <w:highlight w:val="none"/>
          <w:lang w:eastAsia="zh-CN"/>
        </w:rPr>
        <w:t>价</w:t>
      </w:r>
      <w:r>
        <w:rPr>
          <w:rFonts w:hint="eastAsia" w:asciiTheme="minorEastAsia" w:hAnsiTheme="minorEastAsia"/>
          <w:b/>
          <w:sz w:val="32"/>
          <w:szCs w:val="32"/>
          <w:highlight w:val="none"/>
          <w:lang w:val="en-US" w:eastAsia="zh-CN"/>
        </w:rPr>
        <w:t xml:space="preserve"> 单</w:t>
      </w: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6"/>
        <w:rPr>
          <w:rFonts w:hint="eastAsia" w:asciiTheme="minorEastAsia" w:hAnsiTheme="minorEastAsia" w:eastAsiaTheme="minorEastAsia" w:cstheme="minorEastAsia"/>
          <w:b/>
          <w:bCs/>
          <w:sz w:val="40"/>
          <w:szCs w:val="40"/>
          <w:highlight w:val="none"/>
          <w:u w:val="single"/>
          <w:lang w:val="en-US" w:eastAsia="zh-CN"/>
        </w:rPr>
      </w:pPr>
      <w:r>
        <w:rPr>
          <w:rFonts w:hint="eastAsia" w:ascii="宋体" w:hAnsi="宋体" w:eastAsia="宋体" w:cs="宋体"/>
          <w:b/>
          <w:bCs/>
          <w:sz w:val="36"/>
          <w:szCs w:val="36"/>
          <w:highlight w:val="none"/>
          <w:lang w:val="en-US" w:eastAsia="zh-CN"/>
        </w:rPr>
        <w:t>经核计，本次项目</w:t>
      </w:r>
      <w:r>
        <w:rPr>
          <w:rFonts w:hint="eastAsia" w:ascii="宋体" w:hAnsi="宋体" w:eastAsia="宋体" w:cs="宋体"/>
          <w:b/>
          <w:bCs/>
          <w:sz w:val="36"/>
          <w:szCs w:val="36"/>
          <w:highlight w:val="yellow"/>
          <w:lang w:val="en-US" w:eastAsia="zh-CN"/>
        </w:rPr>
        <w:t>不含税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w:t>
      </w:r>
      <w:r>
        <w:rPr>
          <w:rFonts w:hint="eastAsia" w:ascii="宋体" w:hAnsi="宋体" w:eastAsia="宋体" w:cs="宋体"/>
          <w:b/>
          <w:bCs/>
          <w:sz w:val="36"/>
          <w:szCs w:val="36"/>
          <w:highlight w:val="yellow"/>
          <w:lang w:val="en-US" w:eastAsia="zh-CN"/>
        </w:rPr>
        <w:t>含税</w:t>
      </w:r>
      <w:r>
        <w:rPr>
          <w:rFonts w:hint="eastAsia" w:ascii="宋体" w:hAnsi="宋体" w:eastAsia="宋体" w:cs="宋体"/>
          <w:b/>
          <w:bCs/>
          <w:sz w:val="36"/>
          <w:szCs w:val="36"/>
          <w:highlight w:val="none"/>
          <w:lang w:val="en-US" w:eastAsia="zh-CN"/>
        </w:rPr>
        <w:t>总报价为</w:t>
      </w:r>
      <w:r>
        <w:rPr>
          <w:rFonts w:hint="eastAsia" w:ascii="宋体" w:hAnsi="宋体" w:eastAsia="宋体" w:cs="宋体"/>
          <w:b/>
          <w:bCs/>
          <w:sz w:val="36"/>
          <w:szCs w:val="36"/>
          <w:highlight w:val="none"/>
          <w:u w:val="single"/>
          <w:lang w:val="en-US" w:eastAsia="zh-CN"/>
        </w:rPr>
        <w:t xml:space="preserve">          </w:t>
      </w:r>
      <w:r>
        <w:rPr>
          <w:rFonts w:hint="eastAsia" w:ascii="宋体"/>
          <w:b/>
          <w:bCs/>
          <w:sz w:val="36"/>
          <w:szCs w:val="36"/>
          <w:highlight w:val="none"/>
          <w:lang w:val="en-US" w:eastAsia="zh-CN"/>
        </w:rPr>
        <w:t>元（注：开具税率为</w:t>
      </w:r>
      <w:r>
        <w:rPr>
          <w:rFonts w:hint="eastAsia" w:ascii="宋体"/>
          <w:b/>
          <w:bCs/>
          <w:sz w:val="36"/>
          <w:szCs w:val="36"/>
          <w:highlight w:val="none"/>
          <w:u w:val="single"/>
          <w:lang w:val="en-US" w:eastAsia="zh-CN"/>
        </w:rPr>
        <w:t xml:space="preserve">     </w:t>
      </w:r>
      <w:r>
        <w:rPr>
          <w:rFonts w:hint="eastAsia" w:ascii="宋体"/>
          <w:b/>
          <w:bCs/>
          <w:sz w:val="36"/>
          <w:szCs w:val="36"/>
          <w:highlight w:val="none"/>
          <w:lang w:val="en-US" w:eastAsia="zh-CN"/>
        </w:rPr>
        <w:t>%的增值税专用发票）</w:t>
      </w:r>
    </w:p>
    <w:p>
      <w:pPr>
        <w:spacing w:line="360" w:lineRule="auto"/>
        <w:rPr>
          <w:rFonts w:hint="eastAsia" w:cs="宋体" w:asciiTheme="minorEastAsia" w:hAnsiTheme="minorEastAsia" w:eastAsiaTheme="minorEastAsia"/>
          <w:sz w:val="28"/>
          <w:szCs w:val="28"/>
          <w:highlight w:val="none"/>
          <w:lang w:eastAsia="zh-CN"/>
        </w:rPr>
      </w:pPr>
      <w:r>
        <w:rPr>
          <w:rFonts w:hint="eastAsia" w:ascii="宋体" w:hAnsi="宋体"/>
          <w:b/>
          <w:kern w:val="0"/>
          <w:sz w:val="24"/>
          <w:szCs w:val="24"/>
          <w:highlight w:val="none"/>
          <w:lang w:eastAsia="zh-CN"/>
        </w:rPr>
        <w:t>（</w:t>
      </w:r>
      <w:r>
        <w:rPr>
          <w:rFonts w:hint="eastAsia" w:ascii="宋体" w:hAnsi="宋体"/>
          <w:b/>
          <w:kern w:val="0"/>
          <w:sz w:val="24"/>
          <w:szCs w:val="24"/>
          <w:highlight w:val="none"/>
        </w:rPr>
        <w:t>友情提醒：</w:t>
      </w:r>
      <w:r>
        <w:rPr>
          <w:rFonts w:hint="eastAsia" w:ascii="宋体" w:hAnsi="宋体"/>
          <w:b/>
          <w:kern w:val="0"/>
          <w:sz w:val="24"/>
          <w:szCs w:val="24"/>
          <w:highlight w:val="none"/>
          <w:lang w:val="en-US" w:eastAsia="zh-CN"/>
        </w:rPr>
        <w:t>报价明细</w:t>
      </w:r>
      <w:r>
        <w:rPr>
          <w:rFonts w:hint="eastAsia" w:ascii="宋体" w:hAnsi="宋体"/>
          <w:b/>
          <w:kern w:val="0"/>
          <w:sz w:val="24"/>
          <w:szCs w:val="24"/>
          <w:highlight w:val="none"/>
        </w:rPr>
        <w:t>每一页均须加盖投标人公章</w:t>
      </w:r>
      <w:r>
        <w:rPr>
          <w:rFonts w:hint="eastAsia" w:ascii="宋体" w:hAnsi="宋体"/>
          <w:b/>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9"/>
        <w:rPr>
          <w:rFonts w:asciiTheme="minorEastAsia" w:hAnsiTheme="minorEastAsia" w:eastAsiaTheme="minorEastAsia"/>
          <w:kern w:val="0"/>
          <w:sz w:val="28"/>
          <w:szCs w:val="20"/>
          <w:highlight w:val="none"/>
        </w:rPr>
      </w:pPr>
    </w:p>
    <w:p>
      <w:pPr>
        <w:pStyle w:val="9"/>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投标人</w:t>
      </w:r>
      <w:r>
        <w:rPr>
          <w:rFonts w:hint="eastAsia"/>
          <w:sz w:val="28"/>
          <w:szCs w:val="36"/>
          <w:highlight w:val="none"/>
          <w:lang w:eastAsia="zh-CN"/>
        </w:rPr>
        <w:t>名称（盖章）：</w:t>
      </w:r>
    </w:p>
    <w:p>
      <w:pPr>
        <w:pStyle w:val="9"/>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kinsoku w:val="0"/>
        <w:topLinePunct/>
        <w:snapToGrid w:val="0"/>
        <w:spacing w:line="360" w:lineRule="auto"/>
        <w:jc w:val="both"/>
        <w:rPr>
          <w:rFonts w:ascii="宋体"/>
          <w:sz w:val="24"/>
          <w:szCs w:val="24"/>
          <w:highlight w:val="none"/>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7F6D"/>
    <w:multiLevelType w:val="singleLevel"/>
    <w:tmpl w:val="8C527F6D"/>
    <w:lvl w:ilvl="0" w:tentative="0">
      <w:start w:val="2"/>
      <w:numFmt w:val="decimal"/>
      <w:suff w:val="nothing"/>
      <w:lvlText w:val="%1、"/>
      <w:lvlJc w:val="left"/>
      <w:pPr>
        <w:ind w:left="150"/>
      </w:pPr>
    </w:lvl>
  </w:abstractNum>
  <w:abstractNum w:abstractNumId="1">
    <w:nsid w:val="ACAB2C62"/>
    <w:multiLevelType w:val="singleLevel"/>
    <w:tmpl w:val="ACAB2C62"/>
    <w:lvl w:ilvl="0" w:tentative="0">
      <w:start w:val="2"/>
      <w:numFmt w:val="decimal"/>
      <w:suff w:val="space"/>
      <w:lvlText w:val="(%1)"/>
      <w:lvlJc w:val="left"/>
    </w:lvl>
  </w:abstractNum>
  <w:abstractNum w:abstractNumId="2">
    <w:nsid w:val="C41906E2"/>
    <w:multiLevelType w:val="singleLevel"/>
    <w:tmpl w:val="C41906E2"/>
    <w:lvl w:ilvl="0" w:tentative="0">
      <w:start w:val="3"/>
      <w:numFmt w:val="chineseCounting"/>
      <w:suff w:val="nothing"/>
      <w:lvlText w:val="%1、"/>
      <w:lvlJc w:val="left"/>
      <w:rPr>
        <w:rFonts w:hint="eastAsia"/>
      </w:rPr>
    </w:lvl>
  </w:abstractNum>
  <w:abstractNum w:abstractNumId="3">
    <w:nsid w:val="D73ABA83"/>
    <w:multiLevelType w:val="singleLevel"/>
    <w:tmpl w:val="D73ABA83"/>
    <w:lvl w:ilvl="0" w:tentative="0">
      <w:start w:val="2"/>
      <w:numFmt w:val="decimal"/>
      <w:suff w:val="space"/>
      <w:lvlText w:val="（%1）"/>
      <w:lvlJc w:val="left"/>
    </w:lvl>
  </w:abstractNum>
  <w:abstractNum w:abstractNumId="4">
    <w:nsid w:val="E5B68351"/>
    <w:multiLevelType w:val="singleLevel"/>
    <w:tmpl w:val="E5B68351"/>
    <w:lvl w:ilvl="0" w:tentative="0">
      <w:start w:val="2"/>
      <w:numFmt w:val="chineseCounting"/>
      <w:suff w:val="nothing"/>
      <w:lvlText w:val="（%1）"/>
      <w:lvlJc w:val="left"/>
      <w:pPr>
        <w:ind w:left="150"/>
      </w:pPr>
      <w:rPr>
        <w:rFonts w:hint="eastAsia"/>
      </w:rPr>
    </w:lvl>
  </w:abstractNum>
  <w:abstractNum w:abstractNumId="5">
    <w:nsid w:val="177FEB8B"/>
    <w:multiLevelType w:val="singleLevel"/>
    <w:tmpl w:val="177FEB8B"/>
    <w:lvl w:ilvl="0" w:tentative="0">
      <w:start w:val="1"/>
      <w:numFmt w:val="decimal"/>
      <w:suff w:val="nothing"/>
      <w:lvlText w:val="%1）"/>
      <w:lvlJc w:val="left"/>
    </w:lvl>
  </w:abstractNum>
  <w:abstractNum w:abstractNumId="6">
    <w:nsid w:val="58690794"/>
    <w:multiLevelType w:val="multilevel"/>
    <w:tmpl w:val="58690794"/>
    <w:lvl w:ilvl="0" w:tentative="0">
      <w:start w:val="120"/>
      <w:numFmt w:val="bullet"/>
      <w:lvlText w:val="☆"/>
      <w:lvlJc w:val="left"/>
      <w:pPr>
        <w:tabs>
          <w:tab w:val="left" w:pos="360"/>
        </w:tabs>
        <w:ind w:left="360" w:hanging="360"/>
      </w:pPr>
      <w:rPr>
        <w:rFonts w:hint="eastAsia" w:ascii="楷体_GB2312" w:hAnsi="Times New Roman" w:eastAsia="楷体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B78B4AF"/>
    <w:multiLevelType w:val="singleLevel"/>
    <w:tmpl w:val="7B78B4AF"/>
    <w:lvl w:ilvl="0" w:tentative="0">
      <w:start w:val="3"/>
      <w:numFmt w:val="decimal"/>
      <w:suff w:val="nothing"/>
      <w:lvlText w:val="%1、"/>
      <w:lvlJc w:val="left"/>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3150010"/>
    <w:rsid w:val="03367A86"/>
    <w:rsid w:val="03434211"/>
    <w:rsid w:val="0349418E"/>
    <w:rsid w:val="03884130"/>
    <w:rsid w:val="0390015A"/>
    <w:rsid w:val="03B0747B"/>
    <w:rsid w:val="03C439AF"/>
    <w:rsid w:val="03D71AFF"/>
    <w:rsid w:val="041A0C8F"/>
    <w:rsid w:val="046D1D57"/>
    <w:rsid w:val="048015D5"/>
    <w:rsid w:val="04BE3D90"/>
    <w:rsid w:val="050312E6"/>
    <w:rsid w:val="05230D12"/>
    <w:rsid w:val="05606B64"/>
    <w:rsid w:val="056A1349"/>
    <w:rsid w:val="056C28AB"/>
    <w:rsid w:val="05973437"/>
    <w:rsid w:val="061E2E95"/>
    <w:rsid w:val="06D852FF"/>
    <w:rsid w:val="06DC5B77"/>
    <w:rsid w:val="06F040A3"/>
    <w:rsid w:val="07041C7C"/>
    <w:rsid w:val="071024A9"/>
    <w:rsid w:val="077202F8"/>
    <w:rsid w:val="07F369E3"/>
    <w:rsid w:val="08135F53"/>
    <w:rsid w:val="084861FD"/>
    <w:rsid w:val="08784FB1"/>
    <w:rsid w:val="08B3004C"/>
    <w:rsid w:val="0912519A"/>
    <w:rsid w:val="0A0D2237"/>
    <w:rsid w:val="0A590099"/>
    <w:rsid w:val="0A856C30"/>
    <w:rsid w:val="0A891D97"/>
    <w:rsid w:val="0B495814"/>
    <w:rsid w:val="0C0257D6"/>
    <w:rsid w:val="0C373C5A"/>
    <w:rsid w:val="0D2B7710"/>
    <w:rsid w:val="0D436424"/>
    <w:rsid w:val="0D4870C2"/>
    <w:rsid w:val="0D7427FE"/>
    <w:rsid w:val="0D78723E"/>
    <w:rsid w:val="0DB61575"/>
    <w:rsid w:val="0E051AE4"/>
    <w:rsid w:val="0E4D0891"/>
    <w:rsid w:val="0E8122BC"/>
    <w:rsid w:val="0EAB583F"/>
    <w:rsid w:val="0EDC4786"/>
    <w:rsid w:val="0EE53584"/>
    <w:rsid w:val="0EE620AA"/>
    <w:rsid w:val="0F4260E1"/>
    <w:rsid w:val="0F60090A"/>
    <w:rsid w:val="0F99650A"/>
    <w:rsid w:val="0FB84D2A"/>
    <w:rsid w:val="0FCD7E91"/>
    <w:rsid w:val="0FE14BDA"/>
    <w:rsid w:val="1002493A"/>
    <w:rsid w:val="106C5F12"/>
    <w:rsid w:val="10AF05D3"/>
    <w:rsid w:val="11182823"/>
    <w:rsid w:val="11A75E53"/>
    <w:rsid w:val="11F71227"/>
    <w:rsid w:val="122E398A"/>
    <w:rsid w:val="1272617A"/>
    <w:rsid w:val="13193495"/>
    <w:rsid w:val="13AB5F7D"/>
    <w:rsid w:val="13BE057F"/>
    <w:rsid w:val="13E80C01"/>
    <w:rsid w:val="141C79BA"/>
    <w:rsid w:val="14210684"/>
    <w:rsid w:val="14CC7FBE"/>
    <w:rsid w:val="14DA09CD"/>
    <w:rsid w:val="15665FBF"/>
    <w:rsid w:val="159717F1"/>
    <w:rsid w:val="15D333B2"/>
    <w:rsid w:val="15D50AF0"/>
    <w:rsid w:val="15DF7E95"/>
    <w:rsid w:val="16112AC3"/>
    <w:rsid w:val="169B7F23"/>
    <w:rsid w:val="16CC6CB0"/>
    <w:rsid w:val="16D25E7C"/>
    <w:rsid w:val="16DB593C"/>
    <w:rsid w:val="172C7C30"/>
    <w:rsid w:val="172F46FB"/>
    <w:rsid w:val="17306CCA"/>
    <w:rsid w:val="173D36A0"/>
    <w:rsid w:val="1798572E"/>
    <w:rsid w:val="17BA2FC0"/>
    <w:rsid w:val="17C401C6"/>
    <w:rsid w:val="17F12DBF"/>
    <w:rsid w:val="18213C48"/>
    <w:rsid w:val="187F17E9"/>
    <w:rsid w:val="18941805"/>
    <w:rsid w:val="18AE7B1E"/>
    <w:rsid w:val="18B30AEE"/>
    <w:rsid w:val="18C82795"/>
    <w:rsid w:val="1A8F5291"/>
    <w:rsid w:val="1A926929"/>
    <w:rsid w:val="1AA65D2A"/>
    <w:rsid w:val="1AE40441"/>
    <w:rsid w:val="1AE83095"/>
    <w:rsid w:val="1B2F31D4"/>
    <w:rsid w:val="1B820215"/>
    <w:rsid w:val="1B855CC2"/>
    <w:rsid w:val="1B8E19C5"/>
    <w:rsid w:val="1BD61A6E"/>
    <w:rsid w:val="1C4421BA"/>
    <w:rsid w:val="1C6E5FCF"/>
    <w:rsid w:val="1CEB56BA"/>
    <w:rsid w:val="1D1C5A95"/>
    <w:rsid w:val="1D521B1E"/>
    <w:rsid w:val="1D7303B8"/>
    <w:rsid w:val="1E0B2AF9"/>
    <w:rsid w:val="1E5A22DA"/>
    <w:rsid w:val="1EFC07C3"/>
    <w:rsid w:val="1F005C89"/>
    <w:rsid w:val="1F097398"/>
    <w:rsid w:val="1F742706"/>
    <w:rsid w:val="1F7635A0"/>
    <w:rsid w:val="1FBD2350"/>
    <w:rsid w:val="1FC365F5"/>
    <w:rsid w:val="1FDF5663"/>
    <w:rsid w:val="201F11FF"/>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60A7170"/>
    <w:rsid w:val="260D435E"/>
    <w:rsid w:val="267805BF"/>
    <w:rsid w:val="26B07746"/>
    <w:rsid w:val="26D30769"/>
    <w:rsid w:val="26E82628"/>
    <w:rsid w:val="26EE1BC2"/>
    <w:rsid w:val="271E0AF9"/>
    <w:rsid w:val="271E135D"/>
    <w:rsid w:val="274517CA"/>
    <w:rsid w:val="27455109"/>
    <w:rsid w:val="27730977"/>
    <w:rsid w:val="27A631E5"/>
    <w:rsid w:val="27CD3C2E"/>
    <w:rsid w:val="27DE6CEA"/>
    <w:rsid w:val="282D6330"/>
    <w:rsid w:val="28365904"/>
    <w:rsid w:val="28555716"/>
    <w:rsid w:val="29433888"/>
    <w:rsid w:val="29796FA2"/>
    <w:rsid w:val="29CB6173"/>
    <w:rsid w:val="29DA05BC"/>
    <w:rsid w:val="2A125857"/>
    <w:rsid w:val="2A274DBD"/>
    <w:rsid w:val="2A351FC9"/>
    <w:rsid w:val="2B5017D0"/>
    <w:rsid w:val="2B6547B6"/>
    <w:rsid w:val="2B6C55D5"/>
    <w:rsid w:val="2C1F57EB"/>
    <w:rsid w:val="2C287093"/>
    <w:rsid w:val="2C406C2D"/>
    <w:rsid w:val="2C9B039E"/>
    <w:rsid w:val="2CF905AF"/>
    <w:rsid w:val="2D4E26D8"/>
    <w:rsid w:val="2D951CB1"/>
    <w:rsid w:val="2DB529A4"/>
    <w:rsid w:val="2DBA2BDA"/>
    <w:rsid w:val="2EBB6C7E"/>
    <w:rsid w:val="302E6B52"/>
    <w:rsid w:val="303B332C"/>
    <w:rsid w:val="309B4BAC"/>
    <w:rsid w:val="30AD0B0B"/>
    <w:rsid w:val="30AD5BD8"/>
    <w:rsid w:val="30BD5B90"/>
    <w:rsid w:val="30FF5561"/>
    <w:rsid w:val="31676BE5"/>
    <w:rsid w:val="31A6620E"/>
    <w:rsid w:val="31B01BE5"/>
    <w:rsid w:val="31F80D17"/>
    <w:rsid w:val="32432AB5"/>
    <w:rsid w:val="32DC279D"/>
    <w:rsid w:val="32E73FC4"/>
    <w:rsid w:val="340039C8"/>
    <w:rsid w:val="34087FEB"/>
    <w:rsid w:val="342B15C8"/>
    <w:rsid w:val="345C3C5B"/>
    <w:rsid w:val="348271B1"/>
    <w:rsid w:val="34A1676B"/>
    <w:rsid w:val="35305F1A"/>
    <w:rsid w:val="357471B3"/>
    <w:rsid w:val="35C40913"/>
    <w:rsid w:val="36016185"/>
    <w:rsid w:val="365E7716"/>
    <w:rsid w:val="367414C5"/>
    <w:rsid w:val="367B21AF"/>
    <w:rsid w:val="36972799"/>
    <w:rsid w:val="376C137D"/>
    <w:rsid w:val="37801FED"/>
    <w:rsid w:val="378034E1"/>
    <w:rsid w:val="381B2009"/>
    <w:rsid w:val="38694118"/>
    <w:rsid w:val="38EF2F8B"/>
    <w:rsid w:val="39715BCA"/>
    <w:rsid w:val="39E16CEA"/>
    <w:rsid w:val="39E65EB2"/>
    <w:rsid w:val="3A3C1B19"/>
    <w:rsid w:val="3A5A5B4C"/>
    <w:rsid w:val="3A707E9D"/>
    <w:rsid w:val="3AF476DA"/>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32C7C27"/>
    <w:rsid w:val="438247B4"/>
    <w:rsid w:val="4398751D"/>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F0F7C"/>
    <w:rsid w:val="47E6537B"/>
    <w:rsid w:val="47EE06D0"/>
    <w:rsid w:val="48103DE7"/>
    <w:rsid w:val="48CC6A94"/>
    <w:rsid w:val="49280868"/>
    <w:rsid w:val="493A236B"/>
    <w:rsid w:val="493C7423"/>
    <w:rsid w:val="49B12923"/>
    <w:rsid w:val="49C22F2A"/>
    <w:rsid w:val="49D76984"/>
    <w:rsid w:val="4A0E7344"/>
    <w:rsid w:val="4B243536"/>
    <w:rsid w:val="4B5D38AB"/>
    <w:rsid w:val="4C206459"/>
    <w:rsid w:val="4C3B5D13"/>
    <w:rsid w:val="4C5D48BB"/>
    <w:rsid w:val="4CFA592E"/>
    <w:rsid w:val="4D065F60"/>
    <w:rsid w:val="4D460E50"/>
    <w:rsid w:val="4D503DD0"/>
    <w:rsid w:val="4D7C7C5B"/>
    <w:rsid w:val="4D8B0521"/>
    <w:rsid w:val="4DC61D3D"/>
    <w:rsid w:val="4E93508B"/>
    <w:rsid w:val="4EA677AA"/>
    <w:rsid w:val="4EA74AD5"/>
    <w:rsid w:val="4EE41698"/>
    <w:rsid w:val="4EF17687"/>
    <w:rsid w:val="4F1C297B"/>
    <w:rsid w:val="506B7711"/>
    <w:rsid w:val="50F54D40"/>
    <w:rsid w:val="51422989"/>
    <w:rsid w:val="514B08B3"/>
    <w:rsid w:val="515040FB"/>
    <w:rsid w:val="515C51C4"/>
    <w:rsid w:val="516E081B"/>
    <w:rsid w:val="51C0122A"/>
    <w:rsid w:val="51DB4B2F"/>
    <w:rsid w:val="51FB1166"/>
    <w:rsid w:val="520A57F3"/>
    <w:rsid w:val="520D309A"/>
    <w:rsid w:val="52525EF7"/>
    <w:rsid w:val="52642D4A"/>
    <w:rsid w:val="5292601A"/>
    <w:rsid w:val="53503802"/>
    <w:rsid w:val="53B177DE"/>
    <w:rsid w:val="53B54338"/>
    <w:rsid w:val="53C4235B"/>
    <w:rsid w:val="54115C7D"/>
    <w:rsid w:val="549C4E11"/>
    <w:rsid w:val="5500558D"/>
    <w:rsid w:val="5502245D"/>
    <w:rsid w:val="552B5E58"/>
    <w:rsid w:val="55AC5BAC"/>
    <w:rsid w:val="55F95758"/>
    <w:rsid w:val="566429C6"/>
    <w:rsid w:val="571C5DFB"/>
    <w:rsid w:val="574E17BF"/>
    <w:rsid w:val="57BB201A"/>
    <w:rsid w:val="57D869BC"/>
    <w:rsid w:val="57DE6F09"/>
    <w:rsid w:val="589565BD"/>
    <w:rsid w:val="58E80EDC"/>
    <w:rsid w:val="597345C7"/>
    <w:rsid w:val="59E65E5D"/>
    <w:rsid w:val="5A187799"/>
    <w:rsid w:val="5AAE5A18"/>
    <w:rsid w:val="5ACC308A"/>
    <w:rsid w:val="5AE900E2"/>
    <w:rsid w:val="5B0A31F7"/>
    <w:rsid w:val="5B280EA8"/>
    <w:rsid w:val="5B7756EE"/>
    <w:rsid w:val="5C1979D0"/>
    <w:rsid w:val="5C905C5B"/>
    <w:rsid w:val="5CB52F1B"/>
    <w:rsid w:val="5D012C7D"/>
    <w:rsid w:val="5D4F3105"/>
    <w:rsid w:val="5D88711C"/>
    <w:rsid w:val="5D8F19D7"/>
    <w:rsid w:val="5DB01C31"/>
    <w:rsid w:val="5E9E6153"/>
    <w:rsid w:val="5F3C78DD"/>
    <w:rsid w:val="5F4A40D7"/>
    <w:rsid w:val="5F69598C"/>
    <w:rsid w:val="5FE332FB"/>
    <w:rsid w:val="607E3094"/>
    <w:rsid w:val="60B75DDE"/>
    <w:rsid w:val="60BE4FE7"/>
    <w:rsid w:val="60E27AA8"/>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1506D2"/>
    <w:rsid w:val="65367B60"/>
    <w:rsid w:val="65A278FC"/>
    <w:rsid w:val="65CA6060"/>
    <w:rsid w:val="660268CD"/>
    <w:rsid w:val="66A56C29"/>
    <w:rsid w:val="66B371D4"/>
    <w:rsid w:val="66C37535"/>
    <w:rsid w:val="680717F3"/>
    <w:rsid w:val="682F1ACF"/>
    <w:rsid w:val="68574053"/>
    <w:rsid w:val="688B4EF9"/>
    <w:rsid w:val="68DF5DD6"/>
    <w:rsid w:val="69362F91"/>
    <w:rsid w:val="698862F8"/>
    <w:rsid w:val="698D49FA"/>
    <w:rsid w:val="6A306C00"/>
    <w:rsid w:val="6A474519"/>
    <w:rsid w:val="6A6C5876"/>
    <w:rsid w:val="6AA771B1"/>
    <w:rsid w:val="6AEA254C"/>
    <w:rsid w:val="6AED09DC"/>
    <w:rsid w:val="6B455019"/>
    <w:rsid w:val="6B4B7981"/>
    <w:rsid w:val="6B601BF6"/>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76D8A"/>
    <w:rsid w:val="702B14E6"/>
    <w:rsid w:val="70BE737E"/>
    <w:rsid w:val="70C44612"/>
    <w:rsid w:val="717F10F4"/>
    <w:rsid w:val="718D4783"/>
    <w:rsid w:val="719D6E74"/>
    <w:rsid w:val="71BA461C"/>
    <w:rsid w:val="71F13376"/>
    <w:rsid w:val="7215163A"/>
    <w:rsid w:val="726A0820"/>
    <w:rsid w:val="72F2709B"/>
    <w:rsid w:val="72F7346D"/>
    <w:rsid w:val="730A718B"/>
    <w:rsid w:val="732E1E62"/>
    <w:rsid w:val="736F1136"/>
    <w:rsid w:val="73AB533D"/>
    <w:rsid w:val="73EE3506"/>
    <w:rsid w:val="74035473"/>
    <w:rsid w:val="741D2E7E"/>
    <w:rsid w:val="742142D2"/>
    <w:rsid w:val="74265207"/>
    <w:rsid w:val="74487A2A"/>
    <w:rsid w:val="748E6692"/>
    <w:rsid w:val="74A46CC4"/>
    <w:rsid w:val="74A9368D"/>
    <w:rsid w:val="74B10C4E"/>
    <w:rsid w:val="74FB6BA8"/>
    <w:rsid w:val="754D3DC6"/>
    <w:rsid w:val="76BE2504"/>
    <w:rsid w:val="76D877A5"/>
    <w:rsid w:val="776039FA"/>
    <w:rsid w:val="778426EF"/>
    <w:rsid w:val="77985985"/>
    <w:rsid w:val="77C54F50"/>
    <w:rsid w:val="77DD088D"/>
    <w:rsid w:val="78686335"/>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D205032"/>
    <w:rsid w:val="7D2B151D"/>
    <w:rsid w:val="7D5F6DF7"/>
    <w:rsid w:val="7ED30E5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6</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2023-08-18T09:27:45Z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