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锅炉水处理</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both"/>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锅炉水处理</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9 </w:t>
      </w:r>
      <w:r>
        <w:rPr>
          <w:rFonts w:hint="eastAsia"/>
          <w:sz w:val="28"/>
          <w:szCs w:val="28"/>
          <w:highlight w:val="none"/>
        </w:rPr>
        <w:t>月</w:t>
      </w:r>
      <w:r>
        <w:rPr>
          <w:rFonts w:hint="eastAsia"/>
          <w:sz w:val="28"/>
          <w:szCs w:val="28"/>
          <w:highlight w:val="none"/>
          <w:lang w:val="en-US" w:eastAsia="zh-CN"/>
        </w:rPr>
        <w:t xml:space="preserve">  22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锅炉水处理</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锅炉水处理项目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pStyle w:val="16"/>
        <w:widowControl/>
        <w:numPr>
          <w:ilvl w:val="0"/>
          <w:numId w:val="0"/>
        </w:numPr>
        <w:spacing w:line="360" w:lineRule="auto"/>
        <w:ind w:firstLine="480" w:firstLineChars="200"/>
        <w:jc w:val="left"/>
        <w:rPr>
          <w:rFonts w:hint="default" w:asciiTheme="minorEastAsia" w:hAnsiTheme="minorEastAsia" w:cstheme="minorEastAsia"/>
          <w:color w:val="auto"/>
          <w:kern w:val="0"/>
          <w:sz w:val="32"/>
          <w:szCs w:val="32"/>
          <w:highlight w:val="yellow"/>
          <w:lang w:val="en-US" w:eastAsia="zh-CN"/>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6、</w:t>
      </w:r>
      <w:r>
        <w:rPr>
          <w:rFonts w:hint="eastAsia" w:ascii="宋体" w:hAnsi="宋体" w:eastAsia="宋体" w:cs="宋体"/>
          <w:b w:val="0"/>
          <w:bCs/>
          <w:color w:val="auto"/>
          <w:sz w:val="24"/>
          <w:szCs w:val="24"/>
          <w:highlight w:val="yellow"/>
        </w:rPr>
        <w:t>供应商近</w:t>
      </w:r>
      <w:r>
        <w:rPr>
          <w:rFonts w:hint="eastAsia" w:ascii="宋体" w:hAnsi="宋体" w:eastAsia="宋体" w:cs="宋体"/>
          <w:b w:val="0"/>
          <w:bCs/>
          <w:color w:val="auto"/>
          <w:sz w:val="24"/>
          <w:szCs w:val="24"/>
          <w:highlight w:val="yellow"/>
          <w:lang w:val="en-US" w:eastAsia="zh-CN"/>
        </w:rPr>
        <w:t>2</w:t>
      </w:r>
      <w:r>
        <w:rPr>
          <w:rFonts w:hint="eastAsia" w:ascii="宋体" w:hAnsi="宋体" w:eastAsia="宋体" w:cs="宋体"/>
          <w:b w:val="0"/>
          <w:bCs/>
          <w:color w:val="auto"/>
          <w:sz w:val="24"/>
          <w:szCs w:val="24"/>
          <w:highlight w:val="yellow"/>
        </w:rPr>
        <w:t>年（202</w:t>
      </w:r>
      <w:r>
        <w:rPr>
          <w:rFonts w:hint="eastAsia" w:ascii="宋体" w:hAnsi="宋体" w:eastAsia="宋体" w:cs="宋体"/>
          <w:b w:val="0"/>
          <w:bCs/>
          <w:color w:val="auto"/>
          <w:sz w:val="24"/>
          <w:szCs w:val="24"/>
          <w:highlight w:val="yellow"/>
          <w:lang w:val="en-US" w:eastAsia="zh-CN"/>
        </w:rPr>
        <w:t>1</w:t>
      </w:r>
      <w:r>
        <w:rPr>
          <w:rFonts w:hint="eastAsia" w:ascii="宋体" w:hAnsi="宋体" w:eastAsia="宋体" w:cs="宋体"/>
          <w:b w:val="0"/>
          <w:bCs/>
          <w:color w:val="auto"/>
          <w:sz w:val="24"/>
          <w:szCs w:val="24"/>
          <w:highlight w:val="yellow"/>
        </w:rPr>
        <w:t>年1月1日以后，以合同签订时间为准）以来具有</w:t>
      </w:r>
      <w:r>
        <w:rPr>
          <w:rFonts w:hint="eastAsia" w:ascii="宋体" w:hAnsi="宋体" w:eastAsia="宋体" w:cs="宋体"/>
          <w:b w:val="0"/>
          <w:bCs/>
          <w:color w:val="auto"/>
          <w:sz w:val="24"/>
          <w:szCs w:val="24"/>
          <w:highlight w:val="yellow"/>
          <w:lang w:val="en-US" w:eastAsia="zh-CN"/>
        </w:rPr>
        <w:t>类似水质处理</w:t>
      </w:r>
      <w:r>
        <w:rPr>
          <w:rFonts w:hint="eastAsia" w:ascii="宋体" w:hAnsi="宋体" w:eastAsia="宋体" w:cs="宋体"/>
          <w:b w:val="0"/>
          <w:bCs/>
          <w:color w:val="auto"/>
          <w:sz w:val="24"/>
          <w:szCs w:val="24"/>
          <w:highlight w:val="yellow"/>
        </w:rPr>
        <w:t>业绩</w:t>
      </w:r>
      <w:r>
        <w:rPr>
          <w:rFonts w:hint="eastAsia" w:ascii="宋体" w:hAnsi="宋体" w:eastAsia="宋体" w:cs="宋体"/>
          <w:b w:val="0"/>
          <w:bCs/>
          <w:color w:val="auto"/>
          <w:sz w:val="24"/>
          <w:szCs w:val="24"/>
          <w:highlight w:val="yellow"/>
          <w:lang w:eastAsia="zh-CN"/>
        </w:rPr>
        <w:t>（</w:t>
      </w:r>
      <w:r>
        <w:rPr>
          <w:rFonts w:hint="eastAsia" w:ascii="宋体" w:hAnsi="宋体" w:eastAsia="宋体" w:cs="宋体"/>
          <w:b w:val="0"/>
          <w:bCs/>
          <w:color w:val="auto"/>
          <w:sz w:val="24"/>
          <w:szCs w:val="24"/>
          <w:highlight w:val="yellow"/>
          <w:lang w:val="en-US" w:eastAsia="zh-CN"/>
        </w:rPr>
        <w:t>能同时提供相应的合同复印件及发票</w:t>
      </w:r>
      <w:r>
        <w:rPr>
          <w:rFonts w:hint="eastAsia" w:ascii="宋体" w:hAnsi="宋体" w:eastAsia="宋体" w:cs="宋体"/>
          <w:b w:val="0"/>
          <w:bCs/>
          <w:color w:val="auto"/>
          <w:sz w:val="24"/>
          <w:szCs w:val="24"/>
          <w:highlight w:val="yellow"/>
          <w:lang w:eastAsia="zh-CN"/>
        </w:rPr>
        <w:t>）</w:t>
      </w: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、锅炉系统</w:t>
      </w:r>
    </w:p>
    <w:p>
      <w:pPr>
        <w:keepNext w:val="0"/>
        <w:keepLines w:val="0"/>
        <w:pageBreakBefore w:val="0"/>
        <w:widowControl/>
        <w:kinsoku/>
        <w:wordWrap/>
        <w:overflowPunct/>
        <w:topLinePunct w:val="0"/>
        <w:autoSpaceDE/>
        <w:autoSpaceDN/>
        <w:bidi w:val="0"/>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sz w:val="21"/>
          <w:szCs w:val="21"/>
        </w:rPr>
        <w:t>滨江洲际酒店锅炉系统为新建的水循环系统，该系统以南通市政自来水为水源，其各系统参数如下：</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 热水锅炉系统：</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热水循环泵水流量：130m</w:t>
      </w:r>
      <w:r>
        <w:rPr>
          <w:rFonts w:hint="eastAsia" w:ascii="宋体" w:hAnsi="宋体" w:eastAsia="宋体" w:cs="宋体"/>
          <w:sz w:val="21"/>
          <w:szCs w:val="21"/>
          <w:vertAlign w:val="superscript"/>
        </w:rPr>
        <w:t>3</w:t>
      </w:r>
      <w:r>
        <w:rPr>
          <w:rFonts w:hint="eastAsia" w:ascii="宋体" w:hAnsi="宋体" w:eastAsia="宋体" w:cs="宋体"/>
          <w:sz w:val="21"/>
          <w:szCs w:val="21"/>
        </w:rPr>
        <w:t>/h×3（2用1备）。</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富尔顿热水锅炉：两台，一用一备。每台额定工作压力：1Mpa、额定功率：3.5MW。</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额定出水温度：95℃，额定进口温度≤70℃。</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保有水量：120m</w:t>
      </w:r>
      <w:r>
        <w:rPr>
          <w:rFonts w:hint="eastAsia" w:ascii="宋体" w:hAnsi="宋体" w:eastAsia="宋体" w:cs="宋体"/>
          <w:sz w:val="21"/>
          <w:szCs w:val="21"/>
          <w:vertAlign w:val="superscript"/>
        </w:rPr>
        <w:t>3</w:t>
      </w:r>
      <w:r>
        <w:rPr>
          <w:rFonts w:hint="eastAsia" w:ascii="宋体" w:hAnsi="宋体" w:eastAsia="宋体" w:cs="宋体"/>
          <w:sz w:val="21"/>
          <w:szCs w:val="21"/>
        </w:rPr>
        <w:t>，全年运行时间：12小时/天，300天/年。</w:t>
      </w:r>
    </w:p>
    <w:p>
      <w:pPr>
        <w:keepNext w:val="0"/>
        <w:keepLines w:val="0"/>
        <w:pageBreakBefore w:val="0"/>
        <w:numPr>
          <w:ilvl w:val="0"/>
          <w:numId w:val="1"/>
        </w:numPr>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蒸汽锅炉系统：</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富尔顿蒸汽锅炉：两台，一用一备。每台额定蒸发量2.0T/H，日均蒸汽产量约30T/天。</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冷凝水温度：80-90℃，冷凝水回收。</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全自动离子交换器：一套钠离子交换。</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管路管材：碳钢管、铜管。</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锅炉补水为回收的冷凝水和软化水的混合水。</w:t>
      </w:r>
    </w:p>
    <w:p>
      <w:pPr>
        <w:keepNext w:val="0"/>
        <w:keepLines w:val="0"/>
        <w:pageBreakBefore w:val="0"/>
        <w:widowControl/>
        <w:shd w:val="clear" w:color="auto" w:fill="FFFFFF"/>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、锅炉水处理服务及水质要求</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在锅炉运行或停炉期间，全面提供水处理方面的技术支持，包括培训水处理操作人员，保证熟练掌握水质检验。</w:t>
      </w:r>
    </w:p>
    <w:p>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根据运行需要，负责提供锅炉水处</w:t>
      </w:r>
      <w:r>
        <w:rPr>
          <w:rFonts w:hint="eastAsia" w:ascii="宋体" w:hAnsi="宋体" w:eastAsia="宋体" w:cs="宋体"/>
          <w:sz w:val="21"/>
          <w:szCs w:val="21"/>
          <w:lang w:eastAsia="zh-CN"/>
        </w:rPr>
        <w:t>理相适应的</w:t>
      </w:r>
      <w:r>
        <w:rPr>
          <w:rFonts w:hint="eastAsia" w:ascii="宋体" w:hAnsi="宋体" w:eastAsia="宋体" w:cs="宋体"/>
          <w:sz w:val="21"/>
          <w:szCs w:val="21"/>
        </w:rPr>
        <w:t>药剂。</w:t>
      </w:r>
      <w:r>
        <w:rPr>
          <w:rFonts w:hint="eastAsia" w:ascii="宋体" w:hAnsi="宋体" w:eastAsia="宋体" w:cs="宋体"/>
          <w:sz w:val="21"/>
          <w:szCs w:val="21"/>
          <w:lang w:val="en-US" w:eastAsia="zh-CN"/>
        </w:rPr>
        <w:t>若招标方的锅炉在锅检所检验中发现由于水质不合格造成的检验不通过和任何水质问题，均有投标方负责处理。</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运行期间派专业人员上门负责调试加药泵，指导用药量。</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若有异常情况随叫随到，正常情况下，两周一次现场检测水质，检验水质是否达到锅炉水质要求。</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锅炉的特点及本地水质情况，结合国内外有关标准，锅炉系统水质指标控制如下：</w:t>
      </w:r>
    </w:p>
    <w:tbl>
      <w:tblPr>
        <w:tblStyle w:val="13"/>
        <w:tblW w:w="7448" w:type="dxa"/>
        <w:jc w:val="center"/>
        <w:tblInd w:w="0" w:type="dxa"/>
        <w:tblLayout w:type="fixed"/>
        <w:tblCellMar>
          <w:top w:w="15" w:type="dxa"/>
          <w:left w:w="15" w:type="dxa"/>
          <w:bottom w:w="15" w:type="dxa"/>
          <w:right w:w="15" w:type="dxa"/>
        </w:tblCellMar>
      </w:tblPr>
      <w:tblGrid>
        <w:gridCol w:w="1810"/>
        <w:gridCol w:w="1130"/>
        <w:gridCol w:w="1325"/>
        <w:gridCol w:w="1420"/>
        <w:gridCol w:w="1763"/>
      </w:tblGrid>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分析项目</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给水标准</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锅炉水标准</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冷凝水标准</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热水锅炉标准</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悬浮物NTU</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&lt;20.0</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&lt;20.0</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&lt;20.0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总硬度mmol/L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&lt;0.03</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&lt;0.03</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&lt;6.0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P碱度mmol/L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6.0～18.0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M碱度mmol/L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8.0～26.0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pH值</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7.0～10.0</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10.0～12.0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7.0～10.0</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9.0～11.0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电导率μs/cm</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&lt;6000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&lt;4500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溶解固形物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运行&lt;4000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氯离子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运行&lt;800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＜500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铁离子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&lt;0.5</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320" w:lineRule="atLeast"/>
              <w:jc w:val="center"/>
              <w:rPr>
                <w:rFonts w:hint="eastAsia" w:ascii="宋体" w:hAnsi="宋体" w:eastAsia="宋体" w:cs="宋体"/>
                <w:sz w:val="21"/>
                <w:szCs w:val="21"/>
              </w:rPr>
            </w:pPr>
            <w:r>
              <w:rPr>
                <w:rFonts w:hint="eastAsia" w:ascii="宋体" w:hAnsi="宋体" w:eastAsia="宋体" w:cs="宋体"/>
                <w:sz w:val="21"/>
                <w:szCs w:val="21"/>
              </w:rPr>
              <w:t>PO</w:t>
            </w:r>
            <w:r>
              <w:rPr>
                <w:rFonts w:hint="eastAsia" w:ascii="宋体" w:hAnsi="宋体" w:eastAsia="宋体" w:cs="宋体"/>
                <w:sz w:val="21"/>
                <w:szCs w:val="21"/>
                <w:vertAlign w:val="subscript"/>
              </w:rPr>
              <w:t>4</w:t>
            </w:r>
            <w:r>
              <w:rPr>
                <w:rFonts w:hint="eastAsia" w:ascii="宋体" w:hAnsi="宋体" w:eastAsia="宋体" w:cs="宋体"/>
                <w:sz w:val="21"/>
                <w:szCs w:val="21"/>
                <w:vertAlign w:val="superscript"/>
              </w:rPr>
              <w:t>3-</w:t>
            </w:r>
            <w:r>
              <w:rPr>
                <w:rFonts w:hint="eastAsia" w:ascii="宋体" w:hAnsi="宋体" w:eastAsia="宋体" w:cs="宋体"/>
                <w:sz w:val="21"/>
                <w:szCs w:val="21"/>
              </w:rPr>
              <w:t xml:space="preserve">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95"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320" w:lineRule="atLeast"/>
              <w:jc w:val="center"/>
              <w:rPr>
                <w:rFonts w:hint="eastAsia" w:ascii="宋体" w:hAnsi="宋体" w:eastAsia="宋体" w:cs="宋体"/>
                <w:sz w:val="21"/>
                <w:szCs w:val="21"/>
              </w:rPr>
            </w:pPr>
            <w:r>
              <w:rPr>
                <w:rFonts w:hint="eastAsia" w:ascii="宋体" w:hAnsi="宋体" w:eastAsia="宋体" w:cs="宋体"/>
                <w:sz w:val="21"/>
                <w:szCs w:val="21"/>
              </w:rPr>
              <w:t>运行10～30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95"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95" w:lineRule="atLeast"/>
              <w:jc w:val="center"/>
              <w:rPr>
                <w:rFonts w:hint="eastAsia" w:ascii="宋体" w:hAnsi="宋体" w:eastAsia="宋体" w:cs="宋体"/>
                <w:sz w:val="21"/>
                <w:szCs w:val="21"/>
              </w:rPr>
            </w:pPr>
            <w:r>
              <w:rPr>
                <w:rFonts w:hint="eastAsia" w:ascii="宋体" w:hAnsi="宋体" w:eastAsia="宋体" w:cs="宋体"/>
                <w:sz w:val="21"/>
                <w:szCs w:val="21"/>
              </w:rPr>
              <w:t>10～50</w:t>
            </w:r>
          </w:p>
        </w:tc>
      </w:tr>
    </w:tbl>
    <w:p>
      <w:pPr>
        <w:keepNext w:val="0"/>
        <w:keepLines w:val="0"/>
        <w:pageBreakBefore w:val="0"/>
        <w:tabs>
          <w:tab w:val="left" w:pos="3045"/>
          <w:tab w:val="left" w:pos="3169"/>
        </w:tabs>
        <w:kinsoku/>
        <w:wordWrap/>
        <w:overflowPunct/>
        <w:topLinePunct w:val="0"/>
        <w:autoSpaceDE/>
        <w:autoSpaceDN/>
        <w:bidi w:val="0"/>
        <w:adjustRightInd/>
        <w:spacing w:line="360" w:lineRule="auto"/>
        <w:jc w:val="left"/>
        <w:textAlignment w:val="auto"/>
        <w:rPr>
          <w:rFonts w:hint="default"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（6）每半年出一份有CMA资质的检测报告。</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rPr>
        <w:t>锅炉水处理</w:t>
      </w:r>
      <w:r>
        <w:rPr>
          <w:rFonts w:hint="eastAsia" w:ascii="宋体" w:hAnsi="宋体" w:eastAsia="宋体" w:cs="宋体"/>
          <w:b w:val="0"/>
          <w:bCs/>
          <w:kern w:val="0"/>
          <w:sz w:val="21"/>
          <w:szCs w:val="21"/>
          <w:lang w:val="en-US" w:eastAsia="zh-CN"/>
        </w:rPr>
        <w:t>药品清单（一年）：</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(1) </w:t>
      </w:r>
      <w:r>
        <w:rPr>
          <w:rFonts w:hint="eastAsia" w:ascii="宋体" w:hAnsi="宋体" w:eastAsia="宋体" w:cs="宋体"/>
          <w:b w:val="0"/>
          <w:bCs/>
          <w:sz w:val="21"/>
          <w:szCs w:val="21"/>
        </w:rPr>
        <w:t>药品名称</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SFZ-1复合型阻垢缓蚀剂</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SFZ-4复合型阻垢缓蚀剂</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SFZ-5复合型阻垢缓蚀剂</w:t>
      </w:r>
    </w:p>
    <w:p>
      <w:pPr>
        <w:keepNext w:val="0"/>
        <w:keepLines w:val="0"/>
        <w:pageBreakBefore w:val="0"/>
        <w:numPr>
          <w:ilvl w:val="0"/>
          <w:numId w:val="3"/>
        </w:numPr>
        <w:kinsoku/>
        <w:wordWrap/>
        <w:overflowPunct/>
        <w:topLinePunct w:val="0"/>
        <w:autoSpaceDE/>
        <w:autoSpaceDN/>
        <w:bidi w:val="0"/>
        <w:adjustRightInd/>
        <w:spacing w:line="360" w:lineRule="auto"/>
        <w:ind w:left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年度锅炉水处理</w:t>
      </w:r>
      <w:r>
        <w:rPr>
          <w:rFonts w:hint="eastAsia" w:ascii="宋体" w:hAnsi="宋体" w:eastAsia="宋体" w:cs="宋体"/>
          <w:b w:val="0"/>
          <w:bCs/>
          <w:sz w:val="21"/>
          <w:szCs w:val="21"/>
          <w:lang w:val="en-US" w:eastAsia="zh-CN"/>
        </w:rPr>
        <w:t>药品</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药剂费用（一年）：</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SFZ-1：</w:t>
      </w:r>
      <w:r>
        <w:rPr>
          <w:rFonts w:hint="eastAsia" w:ascii="宋体" w:hAnsi="宋体" w:eastAsia="宋体" w:cs="宋体"/>
          <w:b w:val="0"/>
          <w:bCs/>
          <w:color w:val="000000"/>
          <w:kern w:val="0"/>
          <w:sz w:val="21"/>
          <w:szCs w:val="21"/>
          <w:lang w:val="en-US" w:eastAsia="zh-CN"/>
        </w:rPr>
        <w:t>240kg</w:t>
      </w:r>
      <w:r>
        <w:rPr>
          <w:rFonts w:hint="eastAsia" w:ascii="宋体" w:hAnsi="宋体" w:eastAsia="宋体" w:cs="宋体"/>
          <w:b w:val="0"/>
          <w:bCs/>
          <w:color w:val="000000"/>
          <w:kern w:val="0"/>
          <w:sz w:val="21"/>
          <w:szCs w:val="21"/>
        </w:rPr>
        <w:t>/</w:t>
      </w:r>
      <w:r>
        <w:rPr>
          <w:rFonts w:hint="eastAsia" w:ascii="宋体" w:hAnsi="宋体" w:eastAsia="宋体" w:cs="宋体"/>
          <w:b w:val="0"/>
          <w:bCs/>
          <w:color w:val="000000"/>
          <w:kern w:val="0"/>
          <w:sz w:val="21"/>
          <w:szCs w:val="21"/>
          <w:lang w:eastAsia="zh-CN"/>
        </w:rPr>
        <w:t>年</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SFZ-4：</w:t>
      </w:r>
      <w:r>
        <w:rPr>
          <w:rFonts w:hint="eastAsia" w:ascii="宋体" w:hAnsi="宋体" w:eastAsia="宋体" w:cs="宋体"/>
          <w:b w:val="0"/>
          <w:bCs/>
          <w:color w:val="000000"/>
          <w:kern w:val="0"/>
          <w:sz w:val="21"/>
          <w:szCs w:val="21"/>
          <w:lang w:val="en-US" w:eastAsia="zh-CN"/>
        </w:rPr>
        <w:t>1250</w:t>
      </w:r>
      <w:r>
        <w:rPr>
          <w:rFonts w:hint="eastAsia" w:ascii="宋体" w:hAnsi="宋体" w:eastAsia="宋体" w:cs="宋体"/>
          <w:b w:val="0"/>
          <w:bCs/>
          <w:color w:val="000000"/>
          <w:kern w:val="0"/>
          <w:sz w:val="21"/>
          <w:szCs w:val="21"/>
        </w:rPr>
        <w:t>kg/</w:t>
      </w:r>
      <w:r>
        <w:rPr>
          <w:rFonts w:hint="eastAsia" w:ascii="宋体" w:hAnsi="宋体" w:eastAsia="宋体" w:cs="宋体"/>
          <w:b w:val="0"/>
          <w:bCs/>
          <w:color w:val="000000"/>
          <w:kern w:val="0"/>
          <w:sz w:val="21"/>
          <w:szCs w:val="21"/>
          <w:lang w:eastAsia="zh-CN"/>
        </w:rPr>
        <w:t>年</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SFZ-5：</w:t>
      </w:r>
      <w:r>
        <w:rPr>
          <w:rFonts w:hint="eastAsia" w:ascii="宋体" w:hAnsi="宋体" w:eastAsia="宋体" w:cs="宋体"/>
          <w:b w:val="0"/>
          <w:bCs/>
          <w:color w:val="000000"/>
          <w:kern w:val="0"/>
          <w:sz w:val="21"/>
          <w:szCs w:val="21"/>
          <w:lang w:val="en-US" w:eastAsia="zh-CN"/>
        </w:rPr>
        <w:t>48</w:t>
      </w:r>
      <w:r>
        <w:rPr>
          <w:rFonts w:hint="eastAsia" w:ascii="宋体" w:hAnsi="宋体" w:eastAsia="宋体" w:cs="宋体"/>
          <w:b w:val="0"/>
          <w:bCs/>
          <w:color w:val="000000"/>
          <w:kern w:val="0"/>
          <w:sz w:val="21"/>
          <w:szCs w:val="21"/>
        </w:rPr>
        <w:t>0kg/</w:t>
      </w:r>
      <w:r>
        <w:rPr>
          <w:rFonts w:hint="eastAsia" w:ascii="宋体" w:hAnsi="宋体" w:eastAsia="宋体" w:cs="宋体"/>
          <w:b w:val="0"/>
          <w:bCs/>
          <w:color w:val="000000"/>
          <w:kern w:val="0"/>
          <w:sz w:val="21"/>
          <w:szCs w:val="21"/>
          <w:lang w:eastAsia="zh-CN"/>
        </w:rPr>
        <w:t>年</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）工业盐费用</w:t>
      </w:r>
      <w:r>
        <w:rPr>
          <w:rFonts w:hint="eastAsia" w:ascii="宋体" w:hAnsi="宋体" w:eastAsia="宋体" w:cs="宋体"/>
          <w:b w:val="0"/>
          <w:bCs/>
          <w:sz w:val="21"/>
          <w:szCs w:val="21"/>
          <w:lang w:eastAsia="zh-CN"/>
        </w:rPr>
        <w:t>（一年）</w:t>
      </w:r>
      <w:r>
        <w:rPr>
          <w:rFonts w:hint="eastAsia" w:ascii="宋体" w:hAnsi="宋体" w:eastAsia="宋体" w:cs="宋体"/>
          <w:b w:val="0"/>
          <w:bCs/>
          <w:sz w:val="21"/>
          <w:szCs w:val="21"/>
        </w:rPr>
        <w:t>：</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1.5</w:t>
      </w:r>
      <w:r>
        <w:rPr>
          <w:rFonts w:hint="eastAsia" w:ascii="宋体" w:hAnsi="宋体" w:eastAsia="宋体" w:cs="宋体"/>
          <w:b w:val="0"/>
          <w:bCs/>
          <w:sz w:val="21"/>
          <w:szCs w:val="21"/>
        </w:rPr>
        <w:t>吨</w:t>
      </w:r>
      <w:r>
        <w:rPr>
          <w:rFonts w:hint="eastAsia" w:ascii="宋体" w:hAnsi="宋体" w:eastAsia="宋体" w:cs="宋体"/>
          <w:b w:val="0"/>
          <w:bCs/>
          <w:sz w:val="21"/>
          <w:szCs w:val="21"/>
          <w:lang w:val="en-US" w:eastAsia="zh-CN"/>
        </w:rPr>
        <w:t>/季度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4季度=6吨</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化验试剂</w:t>
      </w:r>
      <w:r>
        <w:rPr>
          <w:rFonts w:hint="eastAsia" w:ascii="宋体" w:hAnsi="宋体" w:eastAsia="宋体" w:cs="宋体"/>
          <w:b w:val="0"/>
          <w:bCs/>
          <w:sz w:val="21"/>
          <w:szCs w:val="21"/>
        </w:rPr>
        <w:t>费用</w:t>
      </w:r>
      <w:r>
        <w:rPr>
          <w:rFonts w:hint="eastAsia" w:ascii="宋体" w:hAnsi="宋体" w:eastAsia="宋体" w:cs="宋体"/>
          <w:b w:val="0"/>
          <w:bCs/>
          <w:sz w:val="21"/>
          <w:szCs w:val="21"/>
          <w:lang w:eastAsia="zh-CN"/>
        </w:rPr>
        <w:t>（免费</w:t>
      </w:r>
      <w:r>
        <w:rPr>
          <w:rFonts w:hint="eastAsia" w:ascii="宋体" w:hAnsi="宋体" w:eastAsia="宋体" w:cs="宋体"/>
          <w:b w:val="0"/>
          <w:bCs/>
          <w:sz w:val="21"/>
          <w:szCs w:val="21"/>
          <w:lang w:val="en-US" w:eastAsia="zh-CN"/>
        </w:rPr>
        <w:t>不限数量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硫酸标准溶液（1000ML/瓶）</w:t>
      </w:r>
    </w:p>
    <w:p>
      <w:pPr>
        <w:keepNext w:val="0"/>
        <w:keepLines w:val="0"/>
        <w:pageBreakBefore w:val="0"/>
        <w:numPr>
          <w:ilvl w:val="0"/>
          <w:numId w:val="2"/>
        </w:numPr>
        <w:tabs>
          <w:tab w:val="center" w:pos="4819"/>
        </w:tabs>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硝酸银标准溶液（500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酚酞指示剂（100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甲基橙指示剂（100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铬酸钾指示剂（100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硬度测试剂（软水硬度检测）</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大理石蝴蝶架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三角烧杯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250ML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量筒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100ML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量筒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滴瓶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白色滴定管（25毫升）</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棕色滴定管（25毫升）</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洗耳球</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移液管（10毫升）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宋体" w:hAnsi="宋体" w:eastAsia="宋体" w:cs="宋体"/>
          <w:b w:val="0"/>
          <w:bCs/>
          <w:color w:val="000000"/>
          <w:sz w:val="21"/>
          <w:szCs w:val="21"/>
          <w:lang w:val="en-US" w:eastAsia="zh-CN"/>
        </w:rPr>
        <w:t>现场工作配备记录仪器，</w:t>
      </w:r>
      <w:r>
        <w:rPr>
          <w:rFonts w:hint="eastAsia" w:ascii="宋体" w:hAnsi="宋体" w:eastAsia="宋体" w:cs="宋体"/>
          <w:b w:val="0"/>
          <w:bCs/>
          <w:color w:val="000000"/>
          <w:sz w:val="21"/>
          <w:szCs w:val="21"/>
          <w:lang w:eastAsia="zh-CN"/>
        </w:rPr>
        <w:t>任何一次现场工作后出具相应的工作报告或运行建议书，</w:t>
      </w:r>
      <w:r>
        <w:rPr>
          <w:rFonts w:hint="eastAsia" w:ascii="宋体" w:hAnsi="宋体" w:eastAsia="宋体" w:cs="宋体"/>
          <w:b w:val="0"/>
          <w:bCs/>
          <w:color w:val="000000"/>
          <w:sz w:val="21"/>
          <w:szCs w:val="21"/>
          <w:lang w:val="en-US" w:eastAsia="zh-CN"/>
        </w:rPr>
        <w:t>由工程部相关</w:t>
      </w:r>
      <w:r>
        <w:rPr>
          <w:rFonts w:hint="eastAsia" w:ascii="宋体" w:hAnsi="宋体" w:eastAsia="宋体" w:cs="宋体"/>
          <w:b w:val="0"/>
          <w:bCs/>
          <w:color w:val="auto"/>
          <w:sz w:val="21"/>
          <w:szCs w:val="21"/>
          <w:lang w:val="en-US" w:eastAsia="zh-CN"/>
        </w:rPr>
        <w:t>负责人、工程总监（或运营总监）当日签字后有效，补签无效</w:t>
      </w:r>
      <w:r>
        <w:rPr>
          <w:rFonts w:hint="eastAsia" w:ascii="宋体" w:hAnsi="宋体" w:eastAsia="宋体" w:cs="宋体"/>
          <w:b w:val="0"/>
          <w:bCs/>
          <w:color w:val="auto"/>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涉及更换耗材、元件的检修，</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须在检修前备好全新耗材、元件经</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确认后方可进行检修，检修中替换下来的旧耗材、元件需经</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确认后方可处理。如未经</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确认擅自完成检修，</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对本次检修不予认可，每发生一次，</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需支付违约金1000</w:t>
      </w:r>
      <w:r>
        <w:rPr>
          <w:rFonts w:hint="eastAsia" w:asciiTheme="minorEastAsia" w:hAnsiTheme="minorEastAsia" w:cstheme="minorEastAsia"/>
          <w:color w:val="auto"/>
          <w:sz w:val="21"/>
          <w:szCs w:val="21"/>
          <w:lang w:val="en-US" w:eastAsia="zh-CN"/>
        </w:rPr>
        <w:t>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供应商须提供7×24小时免费服务，半小时内做出响应，1小时内应派专业技术人员到达现场提供免费咨询、</w:t>
      </w:r>
      <w:r>
        <w:rPr>
          <w:rFonts w:hint="eastAsia" w:asciiTheme="minorEastAsia" w:hAnsiTheme="minorEastAsia" w:cstheme="minorEastAsia"/>
          <w:color w:val="auto"/>
          <w:sz w:val="21"/>
          <w:szCs w:val="21"/>
          <w:lang w:val="en-US" w:eastAsia="zh-CN"/>
        </w:rPr>
        <w:t>维保</w:t>
      </w:r>
      <w:r>
        <w:rPr>
          <w:rFonts w:hint="eastAsia" w:asciiTheme="minorEastAsia" w:hAnsiTheme="minorEastAsia" w:eastAsiaTheme="minorEastAsia" w:cstheme="minorEastAsia"/>
          <w:color w:val="auto"/>
          <w:sz w:val="21"/>
          <w:szCs w:val="21"/>
        </w:rPr>
        <w:t>服务。如</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在服务期间未按项目需求进行服务，每发现一次处罚1000元，罚金从合同价款中扣除。如累计处罚金额达3000元，</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有权终止合同，如给</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造成经济损失，由</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进行赔偿。如属硬件故障原因而且24小时无法排除故障的，则应免费提供同等配置的备用设备以保证</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设备的正常运行。若未能在规定的时间内进行现场响应和解决设备问题的，</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采取一切措施所产生的费用和风险由中标供应商承担。</w:t>
      </w:r>
    </w:p>
    <w:p>
      <w:pPr>
        <w:pStyle w:val="6"/>
        <w:numPr>
          <w:ilvl w:val="0"/>
          <w:numId w:val="0"/>
        </w:numPr>
        <w:rPr>
          <w:rFonts w:hint="eastAsia"/>
          <w:color w:val="auto"/>
        </w:rPr>
      </w:pP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napToGrid w:val="0"/>
        <w:spacing w:line="360" w:lineRule="auto"/>
        <w:ind w:firstLine="480" w:firstLineChars="200"/>
        <w:rPr>
          <w:rFonts w:hint="eastAsia" w:ascii="宋体" w:hAnsi="宋体" w:cs="宋体"/>
          <w:color w:val="000000"/>
          <w:kern w:val="0"/>
          <w:sz w:val="24"/>
          <w:szCs w:val="22"/>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评标方式：</w:t>
      </w:r>
      <w:r>
        <w:rPr>
          <w:rFonts w:hint="eastAsia" w:ascii="宋体" w:hAnsi="宋体" w:cs="宋体"/>
          <w:color w:val="000000"/>
          <w:kern w:val="0"/>
          <w:sz w:val="24"/>
          <w:szCs w:val="22"/>
        </w:rPr>
        <w:t>采用</w:t>
      </w:r>
      <w:r>
        <w:rPr>
          <w:rFonts w:hint="eastAsia" w:ascii="宋体" w:hAnsi="宋体" w:cs="宋体"/>
          <w:color w:val="000000"/>
          <w:kern w:val="0"/>
          <w:sz w:val="24"/>
          <w:szCs w:val="22"/>
          <w:lang w:val="en-US" w:eastAsia="zh-CN"/>
        </w:rPr>
        <w:t>综合评分</w:t>
      </w:r>
      <w:r>
        <w:rPr>
          <w:rFonts w:hint="eastAsia" w:ascii="宋体" w:hAnsi="宋体" w:cs="宋体"/>
          <w:color w:val="000000"/>
          <w:kern w:val="0"/>
          <w:sz w:val="24"/>
          <w:szCs w:val="22"/>
        </w:rPr>
        <w:t>法，即满足招标文件要求且</w:t>
      </w:r>
      <w:r>
        <w:rPr>
          <w:rFonts w:hint="eastAsia" w:ascii="宋体" w:hAnsi="宋体" w:cs="宋体"/>
          <w:b/>
          <w:bCs/>
          <w:color w:val="000000"/>
          <w:kern w:val="0"/>
          <w:sz w:val="24"/>
          <w:szCs w:val="22"/>
          <w:lang w:val="en-US" w:eastAsia="zh-CN"/>
        </w:rPr>
        <w:t>综合得分</w:t>
      </w:r>
      <w:r>
        <w:rPr>
          <w:rFonts w:hint="eastAsia" w:ascii="宋体" w:hAnsi="宋体" w:cs="宋体"/>
          <w:color w:val="000000"/>
          <w:kern w:val="0"/>
          <w:sz w:val="24"/>
          <w:szCs w:val="22"/>
        </w:rPr>
        <w:t>最</w:t>
      </w:r>
      <w:r>
        <w:rPr>
          <w:rFonts w:hint="eastAsia" w:ascii="宋体" w:hAnsi="宋体" w:cs="宋体"/>
          <w:color w:val="000000"/>
          <w:kern w:val="0"/>
          <w:sz w:val="24"/>
          <w:szCs w:val="22"/>
          <w:lang w:val="en-US" w:eastAsia="zh-CN"/>
        </w:rPr>
        <w:t>高</w:t>
      </w:r>
      <w:r>
        <w:rPr>
          <w:rFonts w:hint="eastAsia" w:ascii="宋体" w:hAnsi="宋体" w:cs="宋体"/>
          <w:color w:val="000000"/>
          <w:kern w:val="0"/>
          <w:sz w:val="24"/>
          <w:szCs w:val="22"/>
        </w:rPr>
        <w:t>的供应商为第一中标候选人</w:t>
      </w:r>
      <w:r>
        <w:rPr>
          <w:rFonts w:hint="eastAsia" w:ascii="宋体" w:hAnsi="宋体" w:cs="宋体"/>
          <w:color w:val="000000"/>
          <w:kern w:val="0"/>
          <w:sz w:val="24"/>
          <w:szCs w:val="22"/>
          <w:lang w:eastAsia="zh-CN"/>
        </w:rPr>
        <w:t>，</w:t>
      </w:r>
      <w:r>
        <w:rPr>
          <w:rFonts w:hint="eastAsia" w:ascii="宋体" w:hAnsi="宋体" w:cs="宋体"/>
          <w:b/>
          <w:bCs/>
          <w:color w:val="000000"/>
          <w:kern w:val="0"/>
          <w:sz w:val="24"/>
          <w:szCs w:val="22"/>
          <w:lang w:val="en-US" w:eastAsia="zh-CN"/>
        </w:rPr>
        <w:t>综合得分=技术分+商务分；</w:t>
      </w:r>
      <w:r>
        <w:rPr>
          <w:rFonts w:hint="eastAsia" w:ascii="宋体" w:hAnsi="宋体" w:cs="宋体"/>
          <w:color w:val="000000"/>
          <w:kern w:val="0"/>
          <w:sz w:val="24"/>
          <w:szCs w:val="22"/>
          <w:lang w:val="en-US" w:eastAsia="zh-CN"/>
        </w:rPr>
        <w:t>具体评分细则如下：</w:t>
      </w:r>
    </w:p>
    <w:p>
      <w:pPr>
        <w:snapToGrid w:val="0"/>
        <w:spacing w:line="360" w:lineRule="auto"/>
        <w:ind w:firstLine="480" w:firstLineChars="200"/>
        <w:rPr>
          <w:rFonts w:hint="eastAsia" w:ascii="宋体" w:hAnsi="宋体" w:eastAsia="宋体"/>
          <w:sz w:val="22"/>
          <w:szCs w:val="22"/>
          <w:highlight w:val="none"/>
        </w:rPr>
      </w:pPr>
      <w:r>
        <w:rPr>
          <w:rFonts w:hint="eastAsia" w:ascii="宋体" w:hAnsi="宋体" w:cs="宋体"/>
          <w:color w:val="000000"/>
          <w:kern w:val="0"/>
          <w:sz w:val="24"/>
          <w:szCs w:val="22"/>
          <w:lang w:val="en-US" w:eastAsia="zh-CN"/>
        </w:rPr>
        <w:t>（1）</w:t>
      </w:r>
      <w:r>
        <w:rPr>
          <w:rFonts w:hint="eastAsia" w:ascii="宋体" w:hAnsi="宋体" w:eastAsia="宋体"/>
          <w:sz w:val="22"/>
          <w:szCs w:val="22"/>
          <w:highlight w:val="none"/>
        </w:rPr>
        <w:t>确定有效报价：投标报价低于招标控制价的为</w:t>
      </w:r>
      <w:r>
        <w:rPr>
          <w:rFonts w:hint="eastAsia" w:ascii="宋体" w:hAnsi="宋体" w:eastAsia="宋体"/>
          <w:b/>
          <w:bCs/>
          <w:sz w:val="22"/>
          <w:szCs w:val="22"/>
          <w:highlight w:val="none"/>
        </w:rPr>
        <w:t>有效报价</w:t>
      </w:r>
      <w:r>
        <w:rPr>
          <w:rFonts w:hint="eastAsia" w:ascii="宋体" w:hAnsi="宋体" w:eastAsia="宋体"/>
          <w:sz w:val="22"/>
          <w:szCs w:val="22"/>
          <w:highlight w:val="none"/>
        </w:rPr>
        <w:t>，高于或等于招标控制价的为</w:t>
      </w:r>
      <w:r>
        <w:rPr>
          <w:rFonts w:hint="eastAsia" w:ascii="宋体" w:hAnsi="宋体" w:eastAsia="宋体"/>
          <w:b/>
          <w:bCs/>
          <w:sz w:val="22"/>
          <w:szCs w:val="22"/>
          <w:highlight w:val="none"/>
        </w:rPr>
        <w:t>无效报价</w:t>
      </w:r>
      <w:r>
        <w:rPr>
          <w:rFonts w:hint="eastAsia" w:ascii="宋体" w:hAnsi="宋体" w:eastAsia="宋体"/>
          <w:sz w:val="22"/>
          <w:szCs w:val="22"/>
          <w:highlight w:val="none"/>
        </w:rPr>
        <w:t>,本项目招标控制价为：</w:t>
      </w:r>
      <w:r>
        <w:rPr>
          <w:rFonts w:hint="eastAsia" w:ascii="宋体" w:hAnsi="宋体" w:eastAsia="宋体"/>
          <w:b/>
          <w:bCs/>
          <w:sz w:val="22"/>
          <w:szCs w:val="22"/>
          <w:highlight w:val="none"/>
          <w:u w:val="single"/>
        </w:rPr>
        <w:t>￥</w:t>
      </w:r>
      <w:r>
        <w:rPr>
          <w:rFonts w:hint="eastAsia" w:ascii="宋体" w:hAnsi="宋体" w:eastAsia="宋体"/>
          <w:b/>
          <w:bCs/>
          <w:sz w:val="22"/>
          <w:szCs w:val="22"/>
          <w:highlight w:val="none"/>
          <w:u w:val="single"/>
          <w:lang w:val="en-US" w:eastAsia="zh-CN"/>
        </w:rPr>
        <w:t xml:space="preserve"> 6.2</w:t>
      </w:r>
      <w:r>
        <w:rPr>
          <w:rFonts w:hint="eastAsia" w:ascii="宋体" w:hAnsi="宋体" w:eastAsia="宋体"/>
          <w:b/>
          <w:bCs/>
          <w:sz w:val="22"/>
          <w:szCs w:val="22"/>
          <w:highlight w:val="none"/>
          <w:u w:val="single"/>
        </w:rPr>
        <w:t>万元</w:t>
      </w:r>
      <w:r>
        <w:rPr>
          <w:rFonts w:hint="eastAsia" w:ascii="宋体" w:hAnsi="宋体" w:eastAsia="宋体"/>
          <w:sz w:val="22"/>
          <w:szCs w:val="22"/>
          <w:highlight w:val="none"/>
        </w:rPr>
        <w:t>。</w:t>
      </w:r>
    </w:p>
    <w:p>
      <w:pPr>
        <w:pStyle w:val="9"/>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评分规则：</w:t>
      </w:r>
    </w:p>
    <w:tbl>
      <w:tblPr>
        <w:tblStyle w:val="13"/>
        <w:tblpPr w:leftFromText="180" w:rightFromText="180" w:vertAnchor="text" w:horzAnchor="page" w:tblpXSpec="center" w:tblpY="395"/>
        <w:tblOverlap w:val="never"/>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982"/>
        <w:gridCol w:w="56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9149" w:type="dxa"/>
            <w:gridSpan w:val="4"/>
            <w:vAlign w:val="center"/>
          </w:tcPr>
          <w:p>
            <w:pPr>
              <w:jc w:val="center"/>
              <w:rPr>
                <w:rFonts w:hint="default" w:ascii="宋体" w:hAnsi="宋体" w:cs="宋体" w:eastAsiaTheme="minorEastAsia"/>
                <w:b w:val="0"/>
                <w:bCs/>
                <w:sz w:val="21"/>
                <w:szCs w:val="21"/>
                <w:lang w:val="en-US" w:eastAsia="zh-CN"/>
              </w:rPr>
            </w:pPr>
            <w:r>
              <w:rPr>
                <w:rFonts w:hint="eastAsia" w:ascii="宋体" w:hAnsi="宋体" w:cs="宋体"/>
                <w:b/>
                <w:bCs w:val="0"/>
                <w:sz w:val="36"/>
                <w:szCs w:val="36"/>
                <w:lang w:val="en-US" w:eastAsia="zh-CN"/>
              </w:rPr>
              <w:t>技术分评分（40分）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序号</w:t>
            </w:r>
          </w:p>
        </w:tc>
        <w:tc>
          <w:tcPr>
            <w:tcW w:w="982" w:type="dxa"/>
            <w:vAlign w:val="center"/>
          </w:tcPr>
          <w:p>
            <w:pPr>
              <w:jc w:val="center"/>
              <w:rPr>
                <w:rFonts w:ascii="宋体" w:hAnsi="宋体" w:cs="宋体"/>
                <w:b w:val="0"/>
                <w:bCs/>
                <w:sz w:val="21"/>
                <w:szCs w:val="21"/>
              </w:rPr>
            </w:pPr>
            <w:r>
              <w:rPr>
                <w:rFonts w:hint="eastAsia" w:ascii="宋体" w:hAnsi="宋体" w:cs="宋体"/>
                <w:b w:val="0"/>
                <w:bCs/>
                <w:sz w:val="21"/>
                <w:szCs w:val="21"/>
              </w:rPr>
              <w:t>评分内容</w:t>
            </w:r>
          </w:p>
        </w:tc>
        <w:tc>
          <w:tcPr>
            <w:tcW w:w="567" w:type="dxa"/>
            <w:vAlign w:val="center"/>
          </w:tcPr>
          <w:p>
            <w:pPr>
              <w:jc w:val="center"/>
              <w:rPr>
                <w:rFonts w:ascii="宋体" w:hAnsi="宋体" w:cs="宋体"/>
                <w:b w:val="0"/>
                <w:bCs/>
                <w:sz w:val="21"/>
                <w:szCs w:val="21"/>
              </w:rPr>
            </w:pPr>
            <w:r>
              <w:rPr>
                <w:rFonts w:hint="eastAsia" w:ascii="宋体" w:hAnsi="宋体" w:cs="宋体"/>
                <w:b w:val="0"/>
                <w:bCs/>
                <w:sz w:val="21"/>
                <w:szCs w:val="21"/>
              </w:rPr>
              <w:t>分值范围</w:t>
            </w:r>
          </w:p>
        </w:tc>
        <w:tc>
          <w:tcPr>
            <w:tcW w:w="7017" w:type="dxa"/>
            <w:vAlign w:val="center"/>
          </w:tcPr>
          <w:p>
            <w:pPr>
              <w:jc w:val="center"/>
              <w:rPr>
                <w:rFonts w:ascii="宋体" w:hAnsi="宋体" w:cs="宋体"/>
                <w:b w:val="0"/>
                <w:bCs/>
                <w:sz w:val="21"/>
                <w:szCs w:val="21"/>
              </w:rPr>
            </w:pPr>
            <w:r>
              <w:rPr>
                <w:rFonts w:hint="eastAsia" w:ascii="宋体" w:hAnsi="宋体" w:cs="宋体"/>
                <w:b w:val="0"/>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5"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1</w:t>
            </w:r>
          </w:p>
        </w:tc>
        <w:tc>
          <w:tcPr>
            <w:tcW w:w="982" w:type="dxa"/>
            <w:vAlign w:val="center"/>
          </w:tcPr>
          <w:p>
            <w:pPr>
              <w:jc w:val="left"/>
              <w:rPr>
                <w:rFonts w:ascii="宋体" w:hAnsi="宋体" w:cs="宋体"/>
                <w:b w:val="0"/>
                <w:bCs/>
                <w:sz w:val="21"/>
                <w:szCs w:val="21"/>
              </w:rPr>
            </w:pPr>
            <w:r>
              <w:rPr>
                <w:rFonts w:hint="eastAsia" w:ascii="宋体" w:hAnsi="宋体" w:cs="宋体"/>
                <w:b w:val="0"/>
                <w:bCs/>
                <w:sz w:val="21"/>
                <w:szCs w:val="21"/>
              </w:rPr>
              <w:t>供应商综合实力</w:t>
            </w:r>
          </w:p>
        </w:tc>
        <w:tc>
          <w:tcPr>
            <w:tcW w:w="567"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7017" w:type="dxa"/>
            <w:vAlign w:val="center"/>
          </w:tcPr>
          <w:p>
            <w:pPr>
              <w:jc w:val="left"/>
              <w:rPr>
                <w:rFonts w:ascii="宋体" w:hAnsi="宋体" w:cs="宋体"/>
                <w:b w:val="0"/>
                <w:bCs/>
                <w:sz w:val="21"/>
                <w:szCs w:val="21"/>
              </w:rPr>
            </w:pPr>
            <w:r>
              <w:rPr>
                <w:rFonts w:hint="eastAsia" w:ascii="宋体" w:hAnsi="宋体" w:cs="宋体"/>
                <w:b w:val="0"/>
                <w:bCs/>
                <w:sz w:val="21"/>
                <w:szCs w:val="21"/>
              </w:rPr>
              <w:t>1）具有质量管理体系认证、环境管理体系认证、职业健康安全管理体系认证、能源管理体系认证，并在有效期内的，每有一个得</w:t>
            </w:r>
            <w:r>
              <w:rPr>
                <w:rFonts w:hint="eastAsia" w:ascii="宋体" w:hAnsi="宋体" w:cs="宋体"/>
                <w:b w:val="0"/>
                <w:bCs/>
                <w:sz w:val="21"/>
                <w:szCs w:val="21"/>
                <w:lang w:val="en-US" w:eastAsia="zh-CN"/>
              </w:rPr>
              <w:t>2</w:t>
            </w:r>
            <w:r>
              <w:rPr>
                <w:rFonts w:hint="eastAsia" w:ascii="宋体" w:hAnsi="宋体" w:cs="宋体"/>
                <w:b w:val="0"/>
                <w:bCs/>
                <w:sz w:val="21"/>
                <w:szCs w:val="21"/>
              </w:rPr>
              <w:t>分，本项最高得</w:t>
            </w:r>
            <w:r>
              <w:rPr>
                <w:rFonts w:hint="eastAsia" w:ascii="宋体" w:hAnsi="宋体" w:cs="宋体"/>
                <w:b w:val="0"/>
                <w:bCs/>
                <w:sz w:val="21"/>
                <w:szCs w:val="21"/>
                <w:lang w:val="en-US" w:eastAsia="zh-CN"/>
              </w:rPr>
              <w:t>8</w:t>
            </w:r>
            <w:r>
              <w:rPr>
                <w:rFonts w:hint="eastAsia" w:ascii="宋体" w:hAnsi="宋体" w:cs="宋体"/>
                <w:b w:val="0"/>
                <w:bCs/>
                <w:sz w:val="21"/>
                <w:szCs w:val="21"/>
              </w:rPr>
              <w:t>分。</w:t>
            </w:r>
          </w:p>
          <w:p>
            <w:pPr>
              <w:jc w:val="left"/>
              <w:rPr>
                <w:rFonts w:ascii="宋体" w:hAnsi="宋体" w:cs="宋体"/>
                <w:b w:val="0"/>
                <w:bCs/>
                <w:sz w:val="21"/>
                <w:szCs w:val="21"/>
              </w:rPr>
            </w:pPr>
            <w:r>
              <w:rPr>
                <w:rFonts w:hint="eastAsia" w:ascii="宋体" w:hAnsi="宋体" w:cs="宋体"/>
                <w:b w:val="0"/>
                <w:bCs/>
                <w:sz w:val="21"/>
                <w:szCs w:val="21"/>
              </w:rPr>
              <w:t>2）具有企业信用等级证书，3A级得</w:t>
            </w:r>
            <w:r>
              <w:rPr>
                <w:rFonts w:hint="eastAsia" w:ascii="宋体" w:hAnsi="宋体" w:cs="宋体"/>
                <w:b w:val="0"/>
                <w:bCs/>
                <w:sz w:val="21"/>
                <w:szCs w:val="21"/>
                <w:lang w:val="en-US" w:eastAsia="zh-CN"/>
              </w:rPr>
              <w:t>2</w:t>
            </w:r>
            <w:r>
              <w:rPr>
                <w:rFonts w:hint="eastAsia" w:ascii="宋体" w:hAnsi="宋体" w:cs="宋体"/>
                <w:b w:val="0"/>
                <w:bCs/>
                <w:sz w:val="21"/>
                <w:szCs w:val="21"/>
              </w:rPr>
              <w:t>分，2A级得</w:t>
            </w:r>
            <w:r>
              <w:rPr>
                <w:rFonts w:hint="eastAsia" w:ascii="宋体" w:hAnsi="宋体" w:cs="宋体"/>
                <w:b w:val="0"/>
                <w:bCs/>
                <w:sz w:val="21"/>
                <w:szCs w:val="21"/>
                <w:lang w:val="en-US" w:eastAsia="zh-CN"/>
              </w:rPr>
              <w:t>1</w:t>
            </w:r>
            <w:r>
              <w:rPr>
                <w:rFonts w:hint="eastAsia" w:ascii="宋体" w:hAnsi="宋体" w:cs="宋体"/>
                <w:b w:val="0"/>
                <w:bCs/>
                <w:sz w:val="21"/>
                <w:szCs w:val="21"/>
              </w:rPr>
              <w:t>分，其余不得分，最高得</w:t>
            </w:r>
            <w:r>
              <w:rPr>
                <w:rFonts w:hint="eastAsia" w:ascii="宋体" w:hAnsi="宋体" w:cs="宋体"/>
                <w:b w:val="0"/>
                <w:bCs/>
                <w:sz w:val="21"/>
                <w:szCs w:val="21"/>
                <w:lang w:val="en-US" w:eastAsia="zh-CN"/>
              </w:rPr>
              <w:t>2</w:t>
            </w:r>
            <w:r>
              <w:rPr>
                <w:rFonts w:hint="eastAsia" w:ascii="宋体" w:hAnsi="宋体" w:cs="宋体"/>
                <w:b w:val="0"/>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9"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2</w:t>
            </w:r>
          </w:p>
        </w:tc>
        <w:tc>
          <w:tcPr>
            <w:tcW w:w="982" w:type="dxa"/>
            <w:vAlign w:val="center"/>
          </w:tcPr>
          <w:p>
            <w:pPr>
              <w:snapToGrid w:val="0"/>
              <w:jc w:val="center"/>
              <w:rPr>
                <w:rFonts w:ascii="宋体" w:hAnsi="宋体" w:cs="宋体"/>
                <w:b w:val="0"/>
                <w:bCs/>
                <w:sz w:val="21"/>
                <w:szCs w:val="21"/>
              </w:rPr>
            </w:pPr>
            <w:r>
              <w:rPr>
                <w:rFonts w:hint="eastAsia" w:ascii="宋体" w:hAnsi="宋体" w:cs="宋体"/>
                <w:b w:val="0"/>
                <w:bCs/>
                <w:sz w:val="21"/>
                <w:szCs w:val="21"/>
              </w:rPr>
              <w:t>维保技术</w:t>
            </w:r>
          </w:p>
          <w:p>
            <w:pPr>
              <w:jc w:val="center"/>
              <w:rPr>
                <w:rFonts w:ascii="宋体" w:hAnsi="宋体" w:cs="宋体" w:eastAsiaTheme="minorEastAsia"/>
                <w:b w:val="0"/>
                <w:bCs/>
                <w:kern w:val="2"/>
                <w:sz w:val="21"/>
                <w:szCs w:val="21"/>
                <w:lang w:val="en-US" w:eastAsia="zh-CN" w:bidi="ar-SA"/>
              </w:rPr>
            </w:pPr>
            <w:r>
              <w:rPr>
                <w:rFonts w:hint="eastAsia" w:ascii="宋体" w:hAnsi="宋体" w:cs="宋体"/>
                <w:b w:val="0"/>
                <w:bCs/>
                <w:sz w:val="21"/>
                <w:szCs w:val="21"/>
              </w:rPr>
              <w:t>人员力量</w:t>
            </w:r>
          </w:p>
        </w:tc>
        <w:tc>
          <w:tcPr>
            <w:tcW w:w="567" w:type="dxa"/>
            <w:vAlign w:val="center"/>
          </w:tcPr>
          <w:p>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w:t>
            </w:r>
          </w:p>
        </w:tc>
        <w:tc>
          <w:tcPr>
            <w:tcW w:w="7017" w:type="dxa"/>
            <w:vAlign w:val="center"/>
          </w:tcPr>
          <w:p>
            <w:pPr>
              <w:numPr>
                <w:ilvl w:val="0"/>
                <w:numId w:val="5"/>
              </w:numPr>
              <w:jc w:val="left"/>
              <w:rPr>
                <w:rFonts w:hint="eastAsia" w:ascii="宋体" w:hAnsi="宋体" w:cs="宋体"/>
                <w:b w:val="0"/>
                <w:bCs/>
                <w:sz w:val="21"/>
                <w:szCs w:val="21"/>
                <w:lang w:val="en-US" w:eastAsia="zh-CN"/>
              </w:rPr>
            </w:pPr>
            <w:r>
              <w:rPr>
                <w:rFonts w:hint="eastAsia" w:ascii="宋体" w:hAnsi="宋体" w:cs="宋体"/>
                <w:b w:val="0"/>
                <w:bCs/>
                <w:sz w:val="21"/>
                <w:szCs w:val="21"/>
              </w:rPr>
              <w:t>提供拟派维保团队人员信息表</w:t>
            </w:r>
            <w:r>
              <w:rPr>
                <w:rFonts w:hint="eastAsia" w:ascii="宋体" w:hAnsi="宋体" w:eastAsia="宋体" w:cs="宋体"/>
                <w:b w:val="0"/>
                <w:bCs/>
                <w:sz w:val="21"/>
                <w:szCs w:val="21"/>
                <w:lang w:val="en-US" w:eastAsia="zh-CN"/>
              </w:rPr>
              <w:t>中1名具有压力容器作业证人员得5分</w:t>
            </w:r>
            <w:r>
              <w:rPr>
                <w:rFonts w:hint="eastAsia" w:ascii="宋体" w:hAnsi="宋体" w:cs="宋体"/>
                <w:b w:val="0"/>
                <w:bCs/>
                <w:sz w:val="21"/>
                <w:szCs w:val="21"/>
              </w:rPr>
              <w:t>；</w:t>
            </w:r>
            <w:r>
              <w:rPr>
                <w:rFonts w:hint="eastAsia" w:ascii="宋体" w:hAnsi="宋体" w:cs="宋体"/>
                <w:b w:val="0"/>
                <w:bCs/>
                <w:sz w:val="21"/>
                <w:szCs w:val="21"/>
                <w:lang w:val="en-US" w:eastAsia="zh-CN"/>
              </w:rPr>
              <w:t>须</w:t>
            </w:r>
            <w:r>
              <w:rPr>
                <w:rFonts w:hint="eastAsia" w:ascii="宋体" w:hAnsi="宋体" w:cs="宋体"/>
                <w:b w:val="0"/>
                <w:bCs/>
                <w:sz w:val="21"/>
                <w:szCs w:val="21"/>
              </w:rPr>
              <w:t>提供证书及投标人为该名维保人员缴纳的近6个月的社会保险证明。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cs="宋体"/>
                <w:b w:val="0"/>
                <w:bCs/>
                <w:sz w:val="21"/>
                <w:szCs w:val="21"/>
                <w:lang w:val="en-US" w:eastAsia="zh-CN"/>
              </w:rPr>
            </w:pPr>
            <w:bookmarkStart w:id="0" w:name="_Hlk114480415"/>
            <w:r>
              <w:rPr>
                <w:rFonts w:hint="eastAsia" w:ascii="宋体" w:hAnsi="宋体" w:cs="宋体"/>
                <w:b w:val="0"/>
                <w:bCs/>
                <w:sz w:val="21"/>
                <w:szCs w:val="21"/>
                <w:lang w:val="en-US" w:eastAsia="zh-CN"/>
              </w:rPr>
              <w:t>3</w:t>
            </w:r>
          </w:p>
        </w:tc>
        <w:tc>
          <w:tcPr>
            <w:tcW w:w="982" w:type="dxa"/>
            <w:vAlign w:val="center"/>
          </w:tcPr>
          <w:p>
            <w:pPr>
              <w:jc w:val="center"/>
              <w:rPr>
                <w:rFonts w:hint="eastAsia" w:ascii="宋体" w:hAnsi="宋体" w:cs="宋体"/>
                <w:b w:val="0"/>
                <w:bCs/>
                <w:sz w:val="21"/>
                <w:szCs w:val="21"/>
              </w:rPr>
            </w:pPr>
            <w:r>
              <w:rPr>
                <w:rFonts w:hint="eastAsia" w:ascii="宋体" w:hAnsi="宋体" w:cs="宋体"/>
                <w:b w:val="0"/>
                <w:bCs/>
                <w:sz w:val="21"/>
                <w:szCs w:val="21"/>
              </w:rPr>
              <w:t>对本项目的整体策划和实施方案</w:t>
            </w:r>
          </w:p>
        </w:tc>
        <w:tc>
          <w:tcPr>
            <w:tcW w:w="567"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7017" w:type="dxa"/>
            <w:vAlign w:val="center"/>
          </w:tcPr>
          <w:p>
            <w:pPr>
              <w:pStyle w:val="6"/>
              <w:rPr>
                <w:rFonts w:ascii="宋体" w:hAnsi="宋体" w:cs="宋体"/>
                <w:b w:val="0"/>
                <w:bCs/>
                <w:sz w:val="21"/>
                <w:szCs w:val="21"/>
              </w:rPr>
            </w:pPr>
            <w:r>
              <w:rPr>
                <w:rFonts w:hint="eastAsia" w:ascii="宋体" w:hAnsi="宋体" w:cs="宋体"/>
                <w:b w:val="0"/>
                <w:bCs/>
                <w:sz w:val="21"/>
                <w:szCs w:val="21"/>
              </w:rPr>
              <w:t>（1）项目管理服务质量保证措施，</w:t>
            </w:r>
            <w:r>
              <w:rPr>
                <w:rFonts w:hint="eastAsia" w:ascii="宋体" w:hAnsi="宋体" w:cs="宋体"/>
                <w:b w:val="0"/>
                <w:bCs/>
                <w:sz w:val="21"/>
                <w:szCs w:val="21"/>
                <w:lang w:val="en-US" w:eastAsia="zh-CN"/>
              </w:rPr>
              <w:t>安全保证措施</w:t>
            </w:r>
            <w:r>
              <w:rPr>
                <w:rFonts w:hint="eastAsia" w:ascii="宋体" w:hAnsi="宋体" w:cs="宋体"/>
                <w:b w:val="0"/>
                <w:bCs/>
                <w:sz w:val="21"/>
                <w:szCs w:val="21"/>
              </w:rPr>
              <w:t>，措施可靠有针对性。评委根据投标人提供的材料评分，优为</w:t>
            </w:r>
            <w:r>
              <w:rPr>
                <w:rFonts w:hint="eastAsia" w:ascii="宋体" w:hAnsi="宋体" w:cs="宋体"/>
                <w:b w:val="0"/>
                <w:bCs/>
                <w:sz w:val="21"/>
                <w:szCs w:val="21"/>
                <w:lang w:val="en-US" w:eastAsia="zh-CN"/>
              </w:rPr>
              <w:t>3</w:t>
            </w:r>
            <w:r>
              <w:rPr>
                <w:rFonts w:hint="eastAsia" w:ascii="宋体" w:hAnsi="宋体" w:cs="宋体"/>
                <w:b w:val="0"/>
                <w:bCs/>
                <w:sz w:val="21"/>
                <w:szCs w:val="21"/>
              </w:rPr>
              <w:t>分，良为</w:t>
            </w:r>
            <w:r>
              <w:rPr>
                <w:rFonts w:hint="eastAsia" w:ascii="宋体" w:hAnsi="宋体" w:cs="宋体"/>
                <w:b w:val="0"/>
                <w:bCs/>
                <w:sz w:val="21"/>
                <w:szCs w:val="21"/>
                <w:lang w:val="en-US" w:eastAsia="zh-CN"/>
              </w:rPr>
              <w:t>2</w:t>
            </w:r>
            <w:r>
              <w:rPr>
                <w:rFonts w:hint="eastAsia" w:ascii="宋体" w:hAnsi="宋体" w:cs="宋体"/>
                <w:b w:val="0"/>
                <w:bCs/>
                <w:sz w:val="21"/>
                <w:szCs w:val="21"/>
              </w:rPr>
              <w:t>分，一般为</w:t>
            </w:r>
            <w:r>
              <w:rPr>
                <w:rFonts w:hint="eastAsia" w:ascii="宋体" w:hAnsi="宋体" w:cs="宋体"/>
                <w:b w:val="0"/>
                <w:bCs/>
                <w:sz w:val="21"/>
                <w:szCs w:val="21"/>
                <w:lang w:val="en-US" w:eastAsia="zh-CN"/>
              </w:rPr>
              <w:t>1</w:t>
            </w:r>
            <w:r>
              <w:rPr>
                <w:rFonts w:hint="eastAsia" w:ascii="宋体" w:hAnsi="宋体" w:cs="宋体"/>
                <w:b w:val="0"/>
                <w:bCs/>
                <w:sz w:val="21"/>
                <w:szCs w:val="21"/>
              </w:rPr>
              <w:t>分，该项最高得</w:t>
            </w:r>
            <w:r>
              <w:rPr>
                <w:rFonts w:hint="eastAsia" w:ascii="宋体" w:hAnsi="宋体" w:cs="宋体"/>
                <w:b w:val="0"/>
                <w:bCs/>
                <w:sz w:val="21"/>
                <w:szCs w:val="21"/>
                <w:lang w:val="en-US" w:eastAsia="zh-CN"/>
              </w:rPr>
              <w:t>3</w:t>
            </w:r>
            <w:r>
              <w:rPr>
                <w:rFonts w:hint="eastAsia" w:ascii="宋体" w:hAnsi="宋体" w:cs="宋体"/>
                <w:b w:val="0"/>
                <w:bCs/>
                <w:sz w:val="21"/>
                <w:szCs w:val="21"/>
              </w:rPr>
              <w:t>分</w:t>
            </w:r>
            <w:r>
              <w:rPr>
                <w:rFonts w:hint="eastAsia" w:ascii="宋体" w:hAnsi="宋体" w:cs="宋体"/>
                <w:b w:val="0"/>
                <w:bCs/>
                <w:sz w:val="21"/>
                <w:szCs w:val="21"/>
                <w:lang w:val="en-US" w:eastAsia="zh-CN"/>
              </w:rPr>
              <w:t>。</w:t>
            </w:r>
          </w:p>
          <w:p>
            <w:pPr>
              <w:pStyle w:val="6"/>
              <w:rPr>
                <w:rFonts w:ascii="宋体" w:hAnsi="宋体" w:cs="宋体"/>
                <w:b w:val="0"/>
                <w:bCs/>
                <w:sz w:val="21"/>
                <w:szCs w:val="21"/>
              </w:rPr>
            </w:pPr>
            <w:r>
              <w:rPr>
                <w:rFonts w:hint="eastAsia" w:ascii="宋体" w:hAnsi="宋体" w:cs="宋体"/>
                <w:b w:val="0"/>
                <w:bCs/>
                <w:sz w:val="21"/>
                <w:szCs w:val="21"/>
              </w:rPr>
              <w:t>（2）工作计划详细合理性和进度安排保证措施的合理性评委根据投标人提供的材料评分，优为</w:t>
            </w:r>
            <w:r>
              <w:rPr>
                <w:rFonts w:hint="eastAsia" w:ascii="宋体" w:hAnsi="宋体" w:cs="宋体"/>
                <w:b w:val="0"/>
                <w:bCs/>
                <w:sz w:val="21"/>
                <w:szCs w:val="21"/>
                <w:lang w:val="en-US" w:eastAsia="zh-CN"/>
              </w:rPr>
              <w:t>3</w:t>
            </w:r>
            <w:r>
              <w:rPr>
                <w:rFonts w:hint="eastAsia" w:ascii="宋体" w:hAnsi="宋体" w:cs="宋体"/>
                <w:b w:val="0"/>
                <w:bCs/>
                <w:sz w:val="21"/>
                <w:szCs w:val="21"/>
              </w:rPr>
              <w:t>分，良为</w:t>
            </w:r>
            <w:r>
              <w:rPr>
                <w:rFonts w:hint="eastAsia" w:ascii="宋体" w:hAnsi="宋体" w:cs="宋体"/>
                <w:b w:val="0"/>
                <w:bCs/>
                <w:sz w:val="21"/>
                <w:szCs w:val="21"/>
                <w:lang w:val="en-US" w:eastAsia="zh-CN"/>
              </w:rPr>
              <w:t>2</w:t>
            </w:r>
            <w:r>
              <w:rPr>
                <w:rFonts w:hint="eastAsia" w:ascii="宋体" w:hAnsi="宋体" w:cs="宋体"/>
                <w:b w:val="0"/>
                <w:bCs/>
                <w:sz w:val="21"/>
                <w:szCs w:val="21"/>
              </w:rPr>
              <w:t>分，一般为1分，该项最高得</w:t>
            </w:r>
            <w:r>
              <w:rPr>
                <w:rFonts w:hint="eastAsia" w:ascii="宋体" w:hAnsi="宋体" w:cs="宋体"/>
                <w:b w:val="0"/>
                <w:bCs/>
                <w:sz w:val="21"/>
                <w:szCs w:val="21"/>
                <w:lang w:val="en-US" w:eastAsia="zh-CN"/>
              </w:rPr>
              <w:t>3</w:t>
            </w:r>
            <w:r>
              <w:rPr>
                <w:rFonts w:hint="eastAsia" w:ascii="宋体" w:hAnsi="宋体" w:cs="宋体"/>
                <w:b w:val="0"/>
                <w:bCs/>
                <w:sz w:val="21"/>
                <w:szCs w:val="21"/>
              </w:rPr>
              <w:t>分</w:t>
            </w:r>
            <w:r>
              <w:rPr>
                <w:rFonts w:hint="eastAsia" w:ascii="宋体" w:hAnsi="宋体" w:cs="宋体"/>
                <w:b w:val="0"/>
                <w:bCs/>
                <w:sz w:val="21"/>
                <w:szCs w:val="21"/>
                <w:lang w:val="en-US" w:eastAsia="zh-CN"/>
              </w:rPr>
              <w:t>。</w:t>
            </w:r>
          </w:p>
          <w:p>
            <w:pPr>
              <w:pStyle w:val="6"/>
              <w:rPr>
                <w:rFonts w:hint="eastAsia" w:ascii="宋体" w:hAnsi="宋体" w:cs="宋体"/>
                <w:b w:val="0"/>
                <w:bCs/>
                <w:sz w:val="21"/>
                <w:szCs w:val="21"/>
              </w:rPr>
            </w:pPr>
            <w:r>
              <w:rPr>
                <w:rFonts w:hint="eastAsia" w:ascii="宋体" w:hAnsi="宋体" w:cs="宋体"/>
                <w:b w:val="0"/>
                <w:bCs/>
                <w:sz w:val="21"/>
                <w:szCs w:val="21"/>
              </w:rPr>
              <w:t>（3）针对供应商提供响应本项目的</w:t>
            </w:r>
            <w:r>
              <w:rPr>
                <w:rFonts w:hint="eastAsia" w:ascii="宋体" w:hAnsi="宋体" w:cs="宋体"/>
                <w:b w:val="0"/>
                <w:bCs/>
                <w:sz w:val="21"/>
                <w:szCs w:val="21"/>
                <w:lang w:val="en-US" w:eastAsia="zh-CN"/>
              </w:rPr>
              <w:t>维保</w:t>
            </w:r>
            <w:r>
              <w:rPr>
                <w:rFonts w:hint="eastAsia" w:ascii="宋体" w:hAnsi="宋体" w:cs="宋体"/>
                <w:b w:val="0"/>
                <w:bCs/>
                <w:sz w:val="21"/>
                <w:szCs w:val="21"/>
              </w:rPr>
              <w:t>方案，维</w:t>
            </w:r>
            <w:r>
              <w:rPr>
                <w:rFonts w:hint="eastAsia" w:ascii="宋体" w:hAnsi="宋体" w:cs="宋体"/>
                <w:b w:val="0"/>
                <w:bCs/>
                <w:sz w:val="21"/>
                <w:szCs w:val="21"/>
                <w:lang w:val="en-US" w:eastAsia="zh-CN"/>
              </w:rPr>
              <w:t>修</w:t>
            </w:r>
            <w:r>
              <w:rPr>
                <w:rFonts w:hint="eastAsia" w:ascii="宋体" w:hAnsi="宋体" w:cs="宋体"/>
                <w:b w:val="0"/>
                <w:bCs/>
                <w:sz w:val="21"/>
                <w:szCs w:val="21"/>
              </w:rPr>
              <w:t>方案符合相关规范及实际需要、针对性和实用性强，评委就方案内容的明确性及有针对性进行比较后分三档进行评审：优为</w:t>
            </w:r>
            <w:r>
              <w:rPr>
                <w:rFonts w:hint="eastAsia" w:ascii="宋体" w:hAnsi="宋体" w:cs="宋体"/>
                <w:b w:val="0"/>
                <w:bCs/>
                <w:sz w:val="21"/>
                <w:szCs w:val="21"/>
                <w:lang w:val="en-US" w:eastAsia="zh-CN"/>
              </w:rPr>
              <w:t>4</w:t>
            </w:r>
            <w:r>
              <w:rPr>
                <w:rFonts w:hint="eastAsia" w:ascii="宋体" w:hAnsi="宋体" w:cs="宋体"/>
                <w:b w:val="0"/>
                <w:bCs/>
                <w:sz w:val="21"/>
                <w:szCs w:val="21"/>
              </w:rPr>
              <w:t>分，良为</w:t>
            </w:r>
            <w:r>
              <w:rPr>
                <w:rFonts w:hint="eastAsia" w:ascii="宋体" w:hAnsi="宋体" w:cs="宋体"/>
                <w:b w:val="0"/>
                <w:bCs/>
                <w:sz w:val="21"/>
                <w:szCs w:val="21"/>
                <w:lang w:val="en-US" w:eastAsia="zh-CN"/>
              </w:rPr>
              <w:t>3</w:t>
            </w:r>
            <w:r>
              <w:rPr>
                <w:rFonts w:hint="eastAsia" w:ascii="宋体" w:hAnsi="宋体" w:cs="宋体"/>
                <w:b w:val="0"/>
                <w:bCs/>
                <w:sz w:val="21"/>
                <w:szCs w:val="21"/>
              </w:rPr>
              <w:t>分，一般为</w:t>
            </w:r>
            <w:r>
              <w:rPr>
                <w:rFonts w:hint="eastAsia" w:ascii="宋体" w:hAnsi="宋体" w:cs="宋体"/>
                <w:b w:val="0"/>
                <w:bCs/>
                <w:sz w:val="21"/>
                <w:szCs w:val="21"/>
                <w:lang w:val="en-US" w:eastAsia="zh-CN"/>
              </w:rPr>
              <w:t>1</w:t>
            </w:r>
            <w:r>
              <w:rPr>
                <w:rFonts w:hint="eastAsia" w:ascii="宋体" w:hAnsi="宋体" w:cs="宋体"/>
                <w:b w:val="0"/>
                <w:bCs/>
                <w:sz w:val="21"/>
                <w:szCs w:val="21"/>
              </w:rPr>
              <w:t>分，该项最高得</w:t>
            </w:r>
            <w:r>
              <w:rPr>
                <w:rFonts w:hint="eastAsia" w:ascii="宋体" w:hAnsi="宋体" w:cs="宋体"/>
                <w:b w:val="0"/>
                <w:bCs/>
                <w:sz w:val="21"/>
                <w:szCs w:val="21"/>
                <w:lang w:val="en-US" w:eastAsia="zh-CN"/>
              </w:rPr>
              <w:t>4</w:t>
            </w:r>
            <w:r>
              <w:rPr>
                <w:rFonts w:hint="eastAsia" w:ascii="宋体" w:hAnsi="宋体" w:cs="宋体"/>
                <w:b w:val="0"/>
                <w:bCs/>
                <w:sz w:val="21"/>
                <w:szCs w:val="21"/>
              </w:rPr>
              <w:t>分</w:t>
            </w:r>
            <w:r>
              <w:rPr>
                <w:rFonts w:hint="eastAsia" w:ascii="宋体" w:hAnsi="宋体" w:cs="宋体"/>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982" w:type="dxa"/>
            <w:vAlign w:val="center"/>
          </w:tcPr>
          <w:p>
            <w:pPr>
              <w:jc w:val="both"/>
              <w:rPr>
                <w:rFonts w:hint="default" w:ascii="宋体" w:hAnsi="宋体" w:cs="宋体" w:eastAsiaTheme="minorEastAsia"/>
                <w:b w:val="0"/>
                <w:bCs/>
                <w:sz w:val="21"/>
                <w:szCs w:val="21"/>
                <w:lang w:val="en-US" w:eastAsia="zh-CN"/>
              </w:rPr>
            </w:pPr>
            <w:r>
              <w:rPr>
                <w:rFonts w:hint="eastAsia" w:ascii="宋体" w:hAnsi="宋体" w:cs="宋体"/>
                <w:b w:val="0"/>
                <w:bCs/>
                <w:sz w:val="21"/>
                <w:szCs w:val="21"/>
                <w:lang w:val="en-US" w:eastAsia="zh-CN"/>
              </w:rPr>
              <w:t>维保服务响应及时性</w:t>
            </w:r>
          </w:p>
        </w:tc>
        <w:tc>
          <w:tcPr>
            <w:tcW w:w="567"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7017" w:type="dxa"/>
            <w:vAlign w:val="center"/>
          </w:tcPr>
          <w:p>
            <w:pPr>
              <w:pStyle w:val="6"/>
              <w:rPr>
                <w:rFonts w:hint="default" w:ascii="宋体" w:hAnsi="宋体" w:cs="宋体" w:eastAsiaTheme="minorEastAsia"/>
                <w:b w:val="0"/>
                <w:bCs/>
                <w:sz w:val="21"/>
                <w:szCs w:val="21"/>
                <w:lang w:val="en-US" w:eastAsia="zh-CN"/>
              </w:rPr>
            </w:pPr>
            <w:r>
              <w:rPr>
                <w:rFonts w:hint="eastAsia" w:ascii="宋体" w:hAnsi="宋体" w:cs="宋体"/>
                <w:b w:val="0"/>
                <w:bCs/>
                <w:sz w:val="21"/>
                <w:szCs w:val="21"/>
                <w:lang w:val="en-US" w:eastAsia="zh-CN"/>
              </w:rPr>
              <w:t>为保障维保需求，对投标人服务响应及时性进行评价：根据各投标人设立的机构或办事处（公司）至本项目服务地点的服务响应时间进行评分，各投标人承诺可在0.5小时内响应并从投标人公司派人到达招标人指定地点提供维保服务的得10分。在1小时内响应并从投标人公司派人到达招标人指定地点提供维保服务的得5分。在1小时以上响应并从投标人公司派人到达招标人指定地点提供维保服务的得2分，未按要求提供的不得分。（注：须提供各投标人设立机构或办事处（公司）注册地址的产权证明扫描件或租赁合同扫描件与投标人设立机构或办事处（公司）注册地址至采购人地址的百度或高德地图显示距离及到达时间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5" w:hRule="atLeast"/>
          <w:jc w:val="center"/>
        </w:trPr>
        <w:tc>
          <w:tcPr>
            <w:tcW w:w="9149" w:type="dxa"/>
            <w:gridSpan w:val="4"/>
            <w:vAlign w:val="center"/>
          </w:tcPr>
          <w:p>
            <w:pPr>
              <w:pStyle w:val="6"/>
              <w:tabs>
                <w:tab w:val="left" w:pos="2580"/>
              </w:tabs>
              <w:jc w:val="center"/>
              <w:rPr>
                <w:rFonts w:hint="eastAsia" w:ascii="宋体" w:hAnsi="宋体" w:eastAsiaTheme="minorEastAsia"/>
                <w:sz w:val="22"/>
                <w:szCs w:val="21"/>
                <w:lang w:val="en-US" w:eastAsia="zh-CN"/>
              </w:rPr>
            </w:pPr>
            <w:r>
              <w:rPr>
                <w:rFonts w:hint="eastAsia" w:ascii="宋体" w:hAnsi="宋体"/>
                <w:b/>
                <w:bCs/>
                <w:sz w:val="36"/>
                <w:szCs w:val="32"/>
                <w:lang w:val="en-US" w:eastAsia="zh-CN"/>
              </w:rPr>
              <w:t>商务分评分（60分）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982" w:type="dxa"/>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商务分</w:t>
            </w:r>
          </w:p>
        </w:tc>
        <w:tc>
          <w:tcPr>
            <w:tcW w:w="567"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w:t>
            </w:r>
          </w:p>
        </w:tc>
        <w:tc>
          <w:tcPr>
            <w:tcW w:w="7017" w:type="dxa"/>
            <w:vAlign w:val="center"/>
          </w:tcPr>
          <w:p>
            <w:pPr>
              <w:spacing w:line="320" w:lineRule="exact"/>
              <w:rPr>
                <w:rFonts w:hint="eastAsia" w:ascii="宋体" w:hAnsi="宋体"/>
                <w:sz w:val="22"/>
                <w:szCs w:val="21"/>
              </w:rPr>
            </w:pPr>
            <w:r>
              <w:rPr>
                <w:rFonts w:hint="eastAsia" w:ascii="宋体" w:hAnsi="宋体"/>
                <w:sz w:val="22"/>
                <w:szCs w:val="21"/>
              </w:rPr>
              <w:t>1、确定有效报价：投标报价低于招标控制价的投标报价为有效报价</w:t>
            </w:r>
          </w:p>
          <w:p>
            <w:pPr>
              <w:pStyle w:val="6"/>
              <w:tabs>
                <w:tab w:val="left" w:pos="2580"/>
              </w:tabs>
              <w:rPr>
                <w:rFonts w:hint="eastAsia" w:ascii="宋体" w:hAnsi="宋体"/>
                <w:sz w:val="22"/>
                <w:szCs w:val="21"/>
              </w:rPr>
            </w:pPr>
            <w:r>
              <w:rPr>
                <w:rFonts w:hint="eastAsia" w:ascii="宋体" w:hAnsi="宋体"/>
                <w:sz w:val="22"/>
                <w:szCs w:val="21"/>
              </w:rPr>
              <w:t>2、确定基准价：所有有效报价的算术平均值为评标基准价，投标报价等于评标基准价的得满分</w:t>
            </w:r>
            <w:r>
              <w:rPr>
                <w:rFonts w:hint="eastAsia" w:ascii="宋体" w:hAnsi="宋体"/>
                <w:sz w:val="22"/>
                <w:szCs w:val="21"/>
                <w:lang w:val="en-US" w:eastAsia="zh-CN"/>
              </w:rPr>
              <w:t>6</w:t>
            </w:r>
            <w:r>
              <w:rPr>
                <w:rFonts w:hint="eastAsia" w:ascii="宋体" w:hAnsi="宋体"/>
                <w:sz w:val="22"/>
                <w:szCs w:val="21"/>
              </w:rPr>
              <w:t>0分，各投标人的投标报价与评标基准价相比较，每上浮1%扣0.</w:t>
            </w:r>
            <w:r>
              <w:rPr>
                <w:rFonts w:hint="eastAsia" w:ascii="宋体" w:hAnsi="宋体"/>
                <w:sz w:val="22"/>
                <w:szCs w:val="21"/>
                <w:lang w:val="en-US" w:eastAsia="zh-CN"/>
              </w:rPr>
              <w:t>9</w:t>
            </w:r>
            <w:r>
              <w:rPr>
                <w:rFonts w:hint="eastAsia" w:ascii="宋体" w:hAnsi="宋体"/>
                <w:sz w:val="22"/>
                <w:szCs w:val="21"/>
              </w:rPr>
              <w:t>分，下浮1%扣0.</w:t>
            </w:r>
            <w:r>
              <w:rPr>
                <w:rFonts w:hint="eastAsia" w:ascii="宋体" w:hAnsi="宋体"/>
                <w:sz w:val="22"/>
                <w:szCs w:val="21"/>
                <w:lang w:val="en-US" w:eastAsia="zh-CN"/>
              </w:rPr>
              <w:t>6</w:t>
            </w:r>
            <w:r>
              <w:rPr>
                <w:rFonts w:hint="eastAsia" w:ascii="宋体" w:hAnsi="宋体"/>
                <w:sz w:val="22"/>
                <w:szCs w:val="21"/>
              </w:rPr>
              <w:t>分，不足1%的采用插入法，得分保留小数点后两位。</w:t>
            </w:r>
          </w:p>
        </w:tc>
      </w:tr>
      <w:bookmarkEnd w:id="0"/>
    </w:tbl>
    <w:p>
      <w:pPr>
        <w:pStyle w:val="28"/>
        <w:spacing w:line="360" w:lineRule="auto"/>
        <w:ind w:left="0" w:leftChars="0" w:firstLine="480"/>
        <w:rPr>
          <w:rFonts w:hint="eastAsia"/>
          <w:b w:val="0"/>
          <w:bCs/>
          <w:kern w:val="2"/>
          <w:sz w:val="21"/>
          <w:szCs w:val="21"/>
          <w:lang w:val="en-US" w:eastAsia="zh-CN"/>
        </w:rPr>
      </w:pPr>
    </w:p>
    <w:p>
      <w:pPr>
        <w:pStyle w:val="9"/>
        <w:rPr>
          <w:rFonts w:hint="default" w:ascii="宋体" w:hAnsi="宋体" w:eastAsia="宋体"/>
          <w:sz w:val="24"/>
          <w:szCs w:val="24"/>
          <w:highlight w:val="none"/>
          <w:lang w:val="en-US" w:eastAsia="zh-CN"/>
        </w:rPr>
      </w:pPr>
    </w:p>
    <w:p>
      <w:pPr>
        <w:numPr>
          <w:ilvl w:val="0"/>
          <w:numId w:val="6"/>
        </w:numPr>
        <w:spacing w:line="480" w:lineRule="exact"/>
        <w:ind w:left="150" w:leftChars="0" w:firstLine="480" w:firstLineChars="0"/>
        <w:rPr>
          <w:rFonts w:hint="eastAsia" w:asciiTheme="minorEastAsia" w:hAnsiTheme="minorEastAsia" w:eastAsiaTheme="minorEastAsia"/>
          <w:b w:val="0"/>
          <w:bCs w:val="0"/>
          <w:sz w:val="24"/>
          <w:szCs w:val="24"/>
          <w:highlight w:val="yellow"/>
        </w:rPr>
      </w:pP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ascii="宋体" w:hAnsi="宋体" w:cs="宋体"/>
          <w:b w:val="0"/>
          <w:bCs w:val="0"/>
          <w:color w:val="000000"/>
          <w:kern w:val="0"/>
          <w:sz w:val="24"/>
        </w:rPr>
        <w:t>依据</w:t>
      </w:r>
      <w:r>
        <w:rPr>
          <w:rFonts w:hint="eastAsia" w:ascii="宋体" w:hAnsi="宋体" w:cs="宋体"/>
          <w:b w:val="0"/>
          <w:bCs w:val="0"/>
          <w:color w:val="000000"/>
          <w:kern w:val="0"/>
          <w:sz w:val="24"/>
          <w:lang w:val="en-US" w:eastAsia="zh-CN"/>
        </w:rPr>
        <w:t>投标人</w:t>
      </w:r>
      <w:r>
        <w:rPr>
          <w:rFonts w:hint="eastAsia" w:ascii="宋体" w:hAnsi="宋体" w:cs="宋体"/>
          <w:b w:val="0"/>
          <w:bCs w:val="0"/>
          <w:color w:val="000000"/>
          <w:kern w:val="0"/>
          <w:sz w:val="24"/>
        </w:rPr>
        <w:t>的</w:t>
      </w:r>
      <w:r>
        <w:rPr>
          <w:rFonts w:hint="eastAsia" w:ascii="宋体" w:hAnsi="宋体" w:cs="宋体"/>
          <w:b w:val="0"/>
          <w:bCs w:val="0"/>
          <w:color w:val="000000"/>
          <w:kern w:val="0"/>
          <w:sz w:val="24"/>
          <w:highlight w:val="yellow"/>
          <w:lang w:val="en-US" w:eastAsia="zh-CN"/>
        </w:rPr>
        <w:t>综合得分</w:t>
      </w:r>
      <w:r>
        <w:rPr>
          <w:rFonts w:hint="eastAsia" w:ascii="宋体" w:hAnsi="宋体" w:cs="宋体"/>
          <w:b w:val="0"/>
          <w:bCs w:val="0"/>
          <w:color w:val="000000"/>
          <w:kern w:val="0"/>
          <w:sz w:val="24"/>
          <w:highlight w:val="yellow"/>
        </w:rPr>
        <w:t>由低到高排序，</w:t>
      </w:r>
      <w:r>
        <w:rPr>
          <w:rFonts w:hint="eastAsia" w:ascii="宋体" w:hAnsi="宋体" w:cs="宋体"/>
          <w:b w:val="0"/>
          <w:bCs w:val="0"/>
          <w:color w:val="000000"/>
          <w:kern w:val="0"/>
          <w:sz w:val="24"/>
          <w:highlight w:val="yellow"/>
          <w:lang w:val="en-US" w:eastAsia="zh-CN"/>
        </w:rPr>
        <w:t>得分最高的投标人</w:t>
      </w:r>
      <w:r>
        <w:rPr>
          <w:rFonts w:hint="eastAsia" w:cs="宋体" w:asciiTheme="minorEastAsia" w:hAnsiTheme="minorEastAsia" w:eastAsiaTheme="minorEastAsia"/>
          <w:b w:val="0"/>
          <w:bCs w:val="0"/>
          <w:kern w:val="0"/>
          <w:sz w:val="24"/>
          <w:szCs w:val="24"/>
          <w:highlight w:val="yellow"/>
          <w:lang w:val="zh-CN"/>
        </w:rPr>
        <w:t>为第一中标候选人</w:t>
      </w:r>
      <w:r>
        <w:rPr>
          <w:rFonts w:hint="eastAsia" w:cs="宋体" w:asciiTheme="minorEastAsia" w:hAnsiTheme="minorEastAsia"/>
          <w:b w:val="0"/>
          <w:bCs w:val="0"/>
          <w:kern w:val="0"/>
          <w:sz w:val="24"/>
          <w:szCs w:val="24"/>
          <w:highlight w:val="yellow"/>
          <w:lang w:val="zh-CN"/>
        </w:rPr>
        <w:t>；</w:t>
      </w:r>
      <w:r>
        <w:rPr>
          <w:rFonts w:hint="eastAsia" w:asciiTheme="minorEastAsia" w:hAnsiTheme="minorEastAsia" w:eastAsiaTheme="minorEastAsia"/>
          <w:b w:val="0"/>
          <w:bCs w:val="0"/>
          <w:sz w:val="24"/>
          <w:szCs w:val="24"/>
          <w:highlight w:val="yellow"/>
        </w:rPr>
        <w:t>确定成交候选人的特殊情况处理：</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（1）若总分相同，则按</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得分高者优先成交</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（2）若总分且</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相同，则采取现场抽签的方式确定</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评审时，评委对评审的细则若有争议，</w:t>
      </w:r>
      <w:r>
        <w:rPr>
          <w:rFonts w:hint="eastAsia" w:asciiTheme="minorEastAsia" w:hAnsiTheme="minorEastAsia"/>
          <w:b w:val="0"/>
          <w:bCs w:val="0"/>
          <w:sz w:val="24"/>
          <w:szCs w:val="24"/>
          <w:highlight w:val="none"/>
          <w:lang w:val="en-US" w:eastAsia="zh-CN"/>
        </w:rPr>
        <w:t>可</w:t>
      </w:r>
      <w:r>
        <w:rPr>
          <w:rFonts w:hint="eastAsia" w:asciiTheme="minorEastAsia" w:hAnsiTheme="minorEastAsia" w:eastAsiaTheme="minorEastAsia"/>
          <w:b w:val="0"/>
          <w:bCs w:val="0"/>
          <w:sz w:val="24"/>
          <w:szCs w:val="24"/>
          <w:highlight w:val="none"/>
        </w:rPr>
        <w:t>集体讨论确定，并对未尽情况有最终解释权</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4</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对落标的供应商不做落标原因的解释</w:t>
      </w: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项目前期消防审计问题</w:t>
      </w:r>
      <w:r>
        <w:rPr>
          <w:rFonts w:hint="eastAsia" w:asciiTheme="minorEastAsia" w:hAnsiTheme="minorEastAsia" w:eastAsiaTheme="minorEastAsia" w:cstheme="minorEastAsia"/>
          <w:b/>
          <w:bCs/>
          <w:color w:val="auto"/>
          <w:kern w:val="0"/>
          <w:sz w:val="24"/>
          <w:szCs w:val="24"/>
        </w:rPr>
        <w:t>或漏项等后果自负。</w:t>
      </w:r>
      <w:r>
        <w:rPr>
          <w:rFonts w:hint="eastAsia" w:asciiTheme="minorEastAsia" w:hAnsiTheme="minorEastAsia" w:cstheme="minorEastAsia"/>
          <w:b/>
          <w:bCs/>
          <w:color w:val="auto"/>
          <w:kern w:val="0"/>
          <w:sz w:val="24"/>
          <w:szCs w:val="24"/>
          <w:lang w:val="en-US" w:eastAsia="zh-CN"/>
        </w:rPr>
        <w:t>现场踏勘人需要</w:t>
      </w:r>
      <w:r>
        <w:rPr>
          <w:rFonts w:hint="eastAsia"/>
          <w:b/>
          <w:bCs/>
          <w:color w:val="auto"/>
          <w:sz w:val="24"/>
          <w:szCs w:val="24"/>
          <w:highlight w:val="yellow"/>
          <w:lang w:val="en-US" w:eastAsia="zh-CN"/>
        </w:rPr>
        <w:t>持投标单位为其缴纳社保的证明进行踏勘，</w:t>
      </w:r>
      <w:r>
        <w:rPr>
          <w:rFonts w:hint="eastAsia"/>
          <w:b/>
          <w:bCs/>
          <w:color w:val="auto"/>
          <w:sz w:val="24"/>
          <w:szCs w:val="24"/>
          <w:highlight w:val="none"/>
          <w:lang w:val="en-US" w:eastAsia="zh-CN"/>
        </w:rPr>
        <w:t>另外现场踏勘函需要投标人</w:t>
      </w:r>
      <w:r>
        <w:rPr>
          <w:rFonts w:hint="eastAsia" w:asciiTheme="minorEastAsia" w:hAnsiTheme="minorEastAsia" w:cstheme="minorEastAsia"/>
          <w:b/>
          <w:bCs/>
          <w:color w:val="auto"/>
          <w:kern w:val="0"/>
          <w:sz w:val="24"/>
          <w:szCs w:val="24"/>
          <w:highlight w:val="none"/>
          <w:lang w:val="en-US" w:eastAsia="zh-CN"/>
        </w:rPr>
        <w:t>签名并加盖</w:t>
      </w:r>
      <w:r>
        <w:rPr>
          <w:rFonts w:hint="eastAsia" w:asciiTheme="minorEastAsia" w:hAnsiTheme="minorEastAsia" w:cstheme="minorEastAsia"/>
          <w:b/>
          <w:bCs/>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1" w:name="_Toc425249095"/>
      <w:bookmarkStart w:id="2"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1"/>
      <w:bookmarkEnd w:id="2"/>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6、投标保证金付款凭证；</w:t>
      </w:r>
    </w:p>
    <w:p>
      <w:pPr>
        <w:pStyle w:val="16"/>
        <w:widowControl/>
        <w:numPr>
          <w:ilvl w:val="0"/>
          <w:numId w:val="0"/>
        </w:numPr>
        <w:spacing w:line="360" w:lineRule="auto"/>
        <w:ind w:firstLine="480" w:firstLineChars="200"/>
        <w:jc w:val="left"/>
        <w:rPr>
          <w:rFonts w:hint="default" w:asciiTheme="minorEastAsia" w:hAnsiTheme="minorEastAsia" w:cstheme="minorEastAsia"/>
          <w:color w:val="auto"/>
          <w:kern w:val="0"/>
          <w:sz w:val="28"/>
          <w:szCs w:val="28"/>
          <w:highlight w:val="yellow"/>
          <w:lang w:val="en-US" w:eastAsia="zh-CN"/>
        </w:rPr>
      </w:pPr>
      <w:r>
        <w:rPr>
          <w:rFonts w:hint="eastAsia" w:ascii="宋体" w:hAnsi="宋体" w:eastAsia="宋体" w:cs="宋体"/>
          <w:sz w:val="24"/>
          <w:szCs w:val="24"/>
          <w:highlight w:val="yellow"/>
          <w:lang w:val="en-US" w:eastAsia="zh-CN"/>
        </w:rPr>
        <w:t>7、</w:t>
      </w:r>
      <w:r>
        <w:rPr>
          <w:rFonts w:hint="eastAsia" w:ascii="宋体" w:hAnsi="宋体" w:eastAsia="宋体" w:cs="宋体"/>
          <w:b w:val="0"/>
          <w:bCs/>
          <w:color w:val="auto"/>
          <w:sz w:val="24"/>
          <w:szCs w:val="24"/>
          <w:highlight w:val="yellow"/>
        </w:rPr>
        <w:t>供应商近</w:t>
      </w:r>
      <w:r>
        <w:rPr>
          <w:rFonts w:hint="eastAsia" w:ascii="宋体" w:hAnsi="宋体" w:eastAsia="宋体" w:cs="宋体"/>
          <w:b w:val="0"/>
          <w:bCs/>
          <w:color w:val="auto"/>
          <w:sz w:val="24"/>
          <w:szCs w:val="24"/>
          <w:highlight w:val="yellow"/>
          <w:lang w:val="en-US" w:eastAsia="zh-CN"/>
        </w:rPr>
        <w:t>2</w:t>
      </w:r>
      <w:r>
        <w:rPr>
          <w:rFonts w:hint="eastAsia" w:ascii="宋体" w:hAnsi="宋体" w:eastAsia="宋体" w:cs="宋体"/>
          <w:b w:val="0"/>
          <w:bCs/>
          <w:color w:val="auto"/>
          <w:sz w:val="24"/>
          <w:szCs w:val="24"/>
          <w:highlight w:val="yellow"/>
        </w:rPr>
        <w:t>年（202</w:t>
      </w:r>
      <w:r>
        <w:rPr>
          <w:rFonts w:hint="eastAsia" w:ascii="宋体" w:hAnsi="宋体" w:eastAsia="宋体" w:cs="宋体"/>
          <w:b w:val="0"/>
          <w:bCs/>
          <w:color w:val="auto"/>
          <w:sz w:val="24"/>
          <w:szCs w:val="24"/>
          <w:highlight w:val="yellow"/>
          <w:lang w:val="en-US" w:eastAsia="zh-CN"/>
        </w:rPr>
        <w:t>1</w:t>
      </w:r>
      <w:r>
        <w:rPr>
          <w:rFonts w:hint="eastAsia" w:ascii="宋体" w:hAnsi="宋体" w:eastAsia="宋体" w:cs="宋体"/>
          <w:b w:val="0"/>
          <w:bCs/>
          <w:color w:val="auto"/>
          <w:sz w:val="24"/>
          <w:szCs w:val="24"/>
          <w:highlight w:val="yellow"/>
        </w:rPr>
        <w:t>年1月1日以后，以合同签订时间为准）以来具有</w:t>
      </w:r>
      <w:r>
        <w:rPr>
          <w:rFonts w:hint="eastAsia" w:ascii="宋体" w:hAnsi="宋体" w:eastAsia="宋体" w:cs="宋体"/>
          <w:b w:val="0"/>
          <w:bCs/>
          <w:color w:val="auto"/>
          <w:sz w:val="24"/>
          <w:szCs w:val="24"/>
          <w:highlight w:val="yellow"/>
          <w:lang w:val="en-US" w:eastAsia="zh-CN"/>
        </w:rPr>
        <w:t>类似水质处理</w:t>
      </w:r>
      <w:r>
        <w:rPr>
          <w:rFonts w:hint="eastAsia" w:ascii="宋体" w:hAnsi="宋体" w:eastAsia="宋体" w:cs="宋体"/>
          <w:b w:val="0"/>
          <w:bCs/>
          <w:color w:val="auto"/>
          <w:sz w:val="24"/>
          <w:szCs w:val="24"/>
          <w:highlight w:val="yellow"/>
        </w:rPr>
        <w:t>业绩</w:t>
      </w:r>
      <w:r>
        <w:rPr>
          <w:rFonts w:hint="eastAsia" w:ascii="宋体" w:hAnsi="宋体" w:eastAsia="宋体" w:cs="宋体"/>
          <w:b w:val="0"/>
          <w:bCs/>
          <w:color w:val="auto"/>
          <w:sz w:val="24"/>
          <w:szCs w:val="24"/>
          <w:highlight w:val="yellow"/>
          <w:lang w:val="en-US" w:eastAsia="zh-CN"/>
        </w:rPr>
        <w:t>的有效证明（相应的合同复印件及发票</w:t>
      </w:r>
      <w:r>
        <w:rPr>
          <w:rFonts w:hint="eastAsia" w:ascii="宋体" w:hAnsi="宋体" w:eastAsia="宋体" w:cs="宋体"/>
          <w:b w:val="0"/>
          <w:bCs/>
          <w:color w:val="auto"/>
          <w:sz w:val="24"/>
          <w:szCs w:val="24"/>
          <w:highlight w:val="yellow"/>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highlight w:val="yellow"/>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bookmarkStart w:id="3" w:name="_GoBack"/>
      <w:bookmarkEnd w:id="3"/>
    </w:p>
    <w:p>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50" w:leftChars="0" w:firstLine="480" w:firstLineChars="0"/>
        <w:textAlignment w:val="auto"/>
        <w:rPr>
          <w:rFonts w:hint="eastAsia"/>
          <w:b/>
          <w:bCs w:val="0"/>
          <w:sz w:val="24"/>
          <w:szCs w:val="24"/>
          <w:highlight w:val="none"/>
          <w:lang w:val="en-US" w:eastAsia="zh-CN"/>
        </w:rPr>
      </w:pPr>
      <w:r>
        <w:rPr>
          <w:rFonts w:hint="eastAsia"/>
          <w:b/>
          <w:bCs w:val="0"/>
          <w:sz w:val="24"/>
          <w:szCs w:val="24"/>
          <w:highlight w:val="none"/>
          <w:lang w:val="en-US" w:eastAsia="zh-CN"/>
        </w:rPr>
        <w:t>技术标：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b w:val="0"/>
          <w:bCs/>
          <w:sz w:val="24"/>
          <w:szCs w:val="24"/>
          <w:highlight w:val="none"/>
          <w:lang w:val="en-US" w:eastAsia="zh-CN"/>
        </w:rPr>
      </w:pPr>
      <w:r>
        <w:rPr>
          <w:rFonts w:hint="eastAsia"/>
          <w:b w:val="0"/>
          <w:bCs/>
          <w:sz w:val="24"/>
          <w:szCs w:val="24"/>
          <w:highlight w:val="none"/>
          <w:lang w:val="en-US" w:eastAsia="zh-CN"/>
        </w:rPr>
        <w:t>1、参见本文件将“评分规则”，自行准备相关文件</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三</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pStyle w:val="6"/>
        <w:rPr>
          <w:rFonts w:hint="eastAsia"/>
          <w:lang w:eastAsia="zh-CN"/>
        </w:rPr>
      </w:pP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yellow"/>
          <w:u w:val="single"/>
        </w:rPr>
        <w:t>资格审查文件、</w:t>
      </w:r>
      <w:r>
        <w:rPr>
          <w:rFonts w:hint="eastAsia" w:asciiTheme="minorEastAsia" w:hAnsiTheme="minorEastAsia"/>
          <w:kern w:val="0"/>
          <w:sz w:val="24"/>
          <w:szCs w:val="24"/>
          <w:highlight w:val="yellow"/>
          <w:u w:val="single"/>
          <w:lang w:val="en-US" w:eastAsia="zh-CN"/>
        </w:rPr>
        <w:t>技术标、</w:t>
      </w:r>
      <w:r>
        <w:rPr>
          <w:rFonts w:hint="eastAsia" w:asciiTheme="minorEastAsia" w:hAnsiTheme="minorEastAsia" w:eastAsiaTheme="minorEastAsia"/>
          <w:kern w:val="0"/>
          <w:sz w:val="24"/>
          <w:szCs w:val="24"/>
          <w:highlight w:val="yellow"/>
          <w:u w:val="single"/>
        </w:rPr>
        <w:t>商务标</w:t>
      </w:r>
      <w:r>
        <w:rPr>
          <w:rFonts w:hint="eastAsia" w:asciiTheme="minorEastAsia" w:hAnsiTheme="minorEastAsia"/>
          <w:bCs/>
          <w:kern w:val="0"/>
          <w:sz w:val="24"/>
          <w:szCs w:val="24"/>
          <w:highlight w:val="yellow"/>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w:t>
      </w:r>
      <w:r>
        <w:rPr>
          <w:rFonts w:hint="eastAsia" w:asciiTheme="minorEastAsia" w:hAnsiTheme="minorEastAsia"/>
          <w:bCs/>
          <w:color w:val="000000"/>
          <w:kern w:val="0"/>
          <w:sz w:val="24"/>
          <w:szCs w:val="24"/>
          <w:highlight w:val="none"/>
          <w:lang w:val="en-US" w:eastAsia="zh-CN"/>
        </w:rPr>
        <w:t>技术</w:t>
      </w:r>
      <w:r>
        <w:rPr>
          <w:rFonts w:asciiTheme="minorEastAsia" w:hAnsiTheme="minorEastAsia" w:eastAsiaTheme="minorEastAsia"/>
          <w:bCs/>
          <w:color w:val="000000"/>
          <w:kern w:val="0"/>
          <w:sz w:val="24"/>
          <w:szCs w:val="24"/>
          <w:highlight w:val="none"/>
        </w:rPr>
        <w:t>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hint="eastAsia" w:asciiTheme="minorEastAsia" w:hAnsiTheme="minorEastAsia"/>
          <w:bCs/>
          <w:color w:val="000000"/>
          <w:kern w:val="0"/>
          <w:sz w:val="24"/>
          <w:szCs w:val="24"/>
          <w:highlight w:val="none"/>
          <w:lang w:eastAsia="zh-CN"/>
        </w:rPr>
        <w:t>；</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yellow"/>
          <w:u w:val="single"/>
        </w:rPr>
        <w:t>资格审查文件、</w:t>
      </w:r>
      <w:r>
        <w:rPr>
          <w:rFonts w:hint="eastAsia" w:asciiTheme="minorEastAsia" w:hAnsiTheme="minorEastAsia"/>
          <w:bCs/>
          <w:kern w:val="0"/>
          <w:sz w:val="24"/>
          <w:szCs w:val="24"/>
          <w:highlight w:val="yellow"/>
          <w:u w:val="single"/>
          <w:lang w:val="en-US" w:eastAsia="zh-CN"/>
        </w:rPr>
        <w:t>技术标、</w:t>
      </w:r>
      <w:r>
        <w:rPr>
          <w:rFonts w:hint="eastAsia" w:asciiTheme="minorEastAsia" w:hAnsiTheme="minorEastAsia" w:eastAsiaTheme="minorEastAsia"/>
          <w:bCs/>
          <w:kern w:val="0"/>
          <w:sz w:val="24"/>
          <w:szCs w:val="24"/>
          <w:highlight w:val="yellow"/>
          <w:u w:val="single"/>
        </w:rPr>
        <w:t>商务标</w:t>
      </w:r>
      <w:r>
        <w:rPr>
          <w:rFonts w:hint="eastAsia" w:asciiTheme="minorEastAsia" w:hAnsiTheme="minorEastAsia"/>
          <w:bCs/>
          <w:kern w:val="0"/>
          <w:sz w:val="24"/>
          <w:szCs w:val="24"/>
          <w:highlight w:val="yellow"/>
          <w:u w:val="single"/>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，必须</w:t>
      </w:r>
      <w:r>
        <w:rPr>
          <w:rFonts w:hint="eastAsia" w:asciiTheme="minorEastAsia" w:hAnsiTheme="minorEastAsia" w:eastAsiaTheme="minorEastAsia"/>
          <w:bCs/>
          <w:kern w:val="0"/>
          <w:sz w:val="24"/>
          <w:szCs w:val="24"/>
          <w:highlight w:val="none"/>
          <w:u w:val="single"/>
        </w:rPr>
        <w:t>分袋密封</w:t>
      </w:r>
      <w:r>
        <w:rPr>
          <w:rFonts w:hint="eastAsia" w:asciiTheme="minorEastAsia" w:hAnsiTheme="minorEastAsia" w:eastAsiaTheme="minorEastAsia"/>
          <w:bCs/>
          <w:kern w:val="0"/>
          <w:sz w:val="24"/>
          <w:szCs w:val="24"/>
          <w:highlight w:val="none"/>
        </w:rPr>
        <w:t>，并在封袋上加盖投标人单位公章和单位法定代表人章，另须在封袋上标明“资格审查文件”、</w:t>
      </w:r>
      <w:r>
        <w:rPr>
          <w:rFonts w:hint="eastAsia" w:asciiTheme="minorEastAsia" w:hAnsiTheme="minorEastAsia"/>
          <w:bCs/>
          <w:kern w:val="0"/>
          <w:sz w:val="24"/>
          <w:szCs w:val="24"/>
          <w:highlight w:val="none"/>
          <w:lang w:eastAsia="zh-CN"/>
        </w:rPr>
        <w:t>“</w:t>
      </w:r>
      <w:r>
        <w:rPr>
          <w:rFonts w:hint="eastAsia" w:asciiTheme="minorEastAsia" w:hAnsiTheme="minorEastAsia"/>
          <w:bCs/>
          <w:kern w:val="0"/>
          <w:sz w:val="24"/>
          <w:szCs w:val="24"/>
          <w:highlight w:val="none"/>
          <w:lang w:val="en-US" w:eastAsia="zh-CN"/>
        </w:rPr>
        <w:t>技术标</w:t>
      </w:r>
      <w:r>
        <w:rPr>
          <w:rFonts w:hint="eastAsia" w:asciiTheme="minorEastAsia" w:hAnsiTheme="minorEastAsia"/>
          <w:bCs/>
          <w:kern w:val="0"/>
          <w:sz w:val="24"/>
          <w:szCs w:val="24"/>
          <w:highlight w:val="none"/>
          <w:lang w:eastAsia="zh-CN"/>
        </w:rPr>
        <w:t>”、</w:t>
      </w:r>
      <w:r>
        <w:rPr>
          <w:rFonts w:hint="eastAsia" w:asciiTheme="minorEastAsia" w:hAnsiTheme="minorEastAsia" w:eastAsiaTheme="minorEastAsia"/>
          <w:bCs/>
          <w:kern w:val="0"/>
          <w:sz w:val="24"/>
          <w:szCs w:val="24"/>
          <w:highlight w:val="none"/>
        </w:rPr>
        <w:t>“商务标”，同时还要写明招标人名称、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3</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10 </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7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0</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w:t>
      </w:r>
      <w:r>
        <w:rPr>
          <w:rFonts w:hint="eastAsia" w:cs="Times New Roman" w:asciiTheme="minorEastAsia" w:hAnsiTheme="minorEastAsia" w:eastAsiaTheme="minorEastAsia"/>
          <w:b/>
          <w:bCs w:val="0"/>
          <w:color w:val="000000"/>
          <w:kern w:val="0"/>
          <w:sz w:val="24"/>
          <w:szCs w:val="24"/>
          <w:highlight w:val="none"/>
          <w:lang w:val="zh-CN" w:eastAsia="zh-CN" w:bidi="ar-SA"/>
        </w:rPr>
        <w:t>收件人：山女士，联系方式：</w:t>
      </w:r>
      <w:r>
        <w:rPr>
          <w:rFonts w:hint="eastAsia" w:cs="Times New Roman" w:asciiTheme="minorEastAsia" w:hAnsiTheme="minorEastAsia" w:eastAsiaTheme="minorEastAsia"/>
          <w:b/>
          <w:bCs w:val="0"/>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u w:val="single"/>
          <w:lang w:val="zh-CN" w:eastAsia="zh-CN" w:bidi="ar-SA"/>
        </w:rPr>
        <w:t>202</w:t>
      </w:r>
      <w:r>
        <w:rPr>
          <w:rFonts w:hint="eastAsia" w:cs="Times New Roman" w:asciiTheme="minorEastAsia" w:hAnsiTheme="minorEastAsia"/>
          <w:b/>
          <w:bCs w:val="0"/>
          <w:color w:val="000000"/>
          <w:kern w:val="0"/>
          <w:sz w:val="24"/>
          <w:szCs w:val="24"/>
          <w:highlight w:val="none"/>
          <w:u w:val="single"/>
          <w:lang w:val="en-US" w:eastAsia="zh-CN" w:bidi="ar-SA"/>
        </w:rPr>
        <w:t>3</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10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7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1</w:t>
      </w:r>
      <w:r>
        <w:rPr>
          <w:rFonts w:hint="eastAsia" w:cs="Times New Roman" w:asciiTheme="minorEastAsia" w:hAnsiTheme="minorEastAsia"/>
          <w:b/>
          <w:bCs w:val="0"/>
          <w:color w:val="000000"/>
          <w:kern w:val="0"/>
          <w:sz w:val="24"/>
          <w:szCs w:val="24"/>
          <w:highlight w:val="none"/>
          <w:u w:val="single"/>
          <w:lang w:val="en-US" w:eastAsia="zh-CN" w:bidi="ar-SA"/>
        </w:rPr>
        <w:t>0</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锅炉水处理</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w:t>
      </w:r>
      <w:r>
        <w:rPr>
          <w:rFonts w:hint="eastAsia" w:asciiTheme="minorEastAsia" w:hAnsiTheme="minorEastAsia"/>
          <w:b/>
          <w:bCs/>
          <w:sz w:val="44"/>
          <w:szCs w:val="44"/>
          <w:highlight w:val="none"/>
          <w:lang w:val="en-US" w:eastAsia="zh-CN"/>
        </w:rPr>
        <w:t>技术标/</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锅炉水处理</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8"/>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锅炉水处理</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锅炉水处理</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pStyle w:val="6"/>
        <w:rPr>
          <w:rFonts w:hint="eastAsia" w:asciiTheme="minorEastAsia" w:hAnsiTheme="minorEastAsia"/>
          <w:b/>
          <w:sz w:val="32"/>
          <w:szCs w:val="32"/>
          <w:highlight w:val="none"/>
          <w:lang w:val="en-US" w:eastAsia="zh-CN"/>
        </w:rPr>
      </w:pP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七</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报</w:t>
      </w:r>
      <w:r>
        <w:rPr>
          <w:rFonts w:hint="eastAsia" w:asciiTheme="minorEastAsia" w:hAnsiTheme="minorEastAsia"/>
          <w:b/>
          <w:sz w:val="32"/>
          <w:szCs w:val="32"/>
          <w:highlight w:val="none"/>
          <w:lang w:val="en-US" w:eastAsia="zh-CN"/>
        </w:rPr>
        <w:t xml:space="preserve"> </w:t>
      </w:r>
      <w:r>
        <w:rPr>
          <w:rFonts w:hint="eastAsia" w:asciiTheme="minorEastAsia" w:hAnsiTheme="minorEastAsia"/>
          <w:b/>
          <w:sz w:val="32"/>
          <w:szCs w:val="32"/>
          <w:highlight w:val="none"/>
          <w:lang w:eastAsia="zh-CN"/>
        </w:rPr>
        <w:t>价</w:t>
      </w:r>
      <w:r>
        <w:rPr>
          <w:rFonts w:hint="eastAsia" w:asciiTheme="minorEastAsia" w:hAnsiTheme="minorEastAsia"/>
          <w:b/>
          <w:sz w:val="32"/>
          <w:szCs w:val="32"/>
          <w:highlight w:val="none"/>
          <w:lang w:val="en-US" w:eastAsia="zh-CN"/>
        </w:rPr>
        <w:t xml:space="preserve"> 单</w:t>
      </w: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6"/>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spacing w:line="360" w:lineRule="auto"/>
        <w:rPr>
          <w:rFonts w:hint="eastAsia" w:cs="宋体" w:asciiTheme="minorEastAsia" w:hAnsiTheme="minorEastAsia" w:eastAsiaTheme="minorEastAsia"/>
          <w:sz w:val="28"/>
          <w:szCs w:val="28"/>
          <w:highlight w:val="none"/>
          <w:lang w:eastAsia="zh-CN"/>
        </w:rPr>
      </w:pP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9"/>
        <w:rPr>
          <w:rFonts w:asciiTheme="minorEastAsia" w:hAnsiTheme="minorEastAsia" w:eastAsiaTheme="minorEastAsia"/>
          <w:kern w:val="0"/>
          <w:sz w:val="28"/>
          <w:szCs w:val="20"/>
          <w:highlight w:val="none"/>
        </w:rPr>
      </w:pPr>
    </w:p>
    <w:p>
      <w:pPr>
        <w:pStyle w:val="9"/>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投标人</w:t>
      </w:r>
      <w:r>
        <w:rPr>
          <w:rFonts w:hint="eastAsia"/>
          <w:sz w:val="28"/>
          <w:szCs w:val="36"/>
          <w:highlight w:val="none"/>
          <w:lang w:eastAsia="zh-CN"/>
        </w:rPr>
        <w:t>名称（盖章）：</w:t>
      </w:r>
    </w:p>
    <w:p>
      <w:pPr>
        <w:pStyle w:val="9"/>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kinsoku w:val="0"/>
        <w:topLinePunct/>
        <w:snapToGrid w:val="0"/>
        <w:spacing w:line="360" w:lineRule="auto"/>
        <w:jc w:val="both"/>
        <w:rPr>
          <w:rFonts w:ascii="宋体"/>
          <w:sz w:val="24"/>
          <w:szCs w:val="24"/>
          <w:highlight w:val="none"/>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27F6D"/>
    <w:multiLevelType w:val="singleLevel"/>
    <w:tmpl w:val="8C527F6D"/>
    <w:lvl w:ilvl="0" w:tentative="0">
      <w:start w:val="2"/>
      <w:numFmt w:val="decimal"/>
      <w:suff w:val="nothing"/>
      <w:lvlText w:val="%1、"/>
      <w:lvlJc w:val="left"/>
      <w:pPr>
        <w:ind w:left="150"/>
      </w:pPr>
    </w:lvl>
  </w:abstractNum>
  <w:abstractNum w:abstractNumId="1">
    <w:nsid w:val="ACAB2C62"/>
    <w:multiLevelType w:val="singleLevel"/>
    <w:tmpl w:val="ACAB2C62"/>
    <w:lvl w:ilvl="0" w:tentative="0">
      <w:start w:val="2"/>
      <w:numFmt w:val="decimal"/>
      <w:suff w:val="space"/>
      <w:lvlText w:val="(%1)"/>
      <w:lvlJc w:val="left"/>
    </w:lvl>
  </w:abstractNum>
  <w:abstractNum w:abstractNumId="2">
    <w:nsid w:val="C41906E2"/>
    <w:multiLevelType w:val="singleLevel"/>
    <w:tmpl w:val="C41906E2"/>
    <w:lvl w:ilvl="0" w:tentative="0">
      <w:start w:val="3"/>
      <w:numFmt w:val="chineseCounting"/>
      <w:suff w:val="nothing"/>
      <w:lvlText w:val="%1、"/>
      <w:lvlJc w:val="left"/>
      <w:rPr>
        <w:rFonts w:hint="eastAsia"/>
      </w:rPr>
    </w:lvl>
  </w:abstractNum>
  <w:abstractNum w:abstractNumId="3">
    <w:nsid w:val="D73ABA83"/>
    <w:multiLevelType w:val="singleLevel"/>
    <w:tmpl w:val="D73ABA83"/>
    <w:lvl w:ilvl="0" w:tentative="0">
      <w:start w:val="2"/>
      <w:numFmt w:val="decimal"/>
      <w:suff w:val="space"/>
      <w:lvlText w:val="（%1）"/>
      <w:lvlJc w:val="left"/>
    </w:lvl>
  </w:abstractNum>
  <w:abstractNum w:abstractNumId="4">
    <w:nsid w:val="E5B68351"/>
    <w:multiLevelType w:val="singleLevel"/>
    <w:tmpl w:val="E5B68351"/>
    <w:lvl w:ilvl="0" w:tentative="0">
      <w:start w:val="2"/>
      <w:numFmt w:val="chineseCounting"/>
      <w:suff w:val="nothing"/>
      <w:lvlText w:val="（%1）"/>
      <w:lvlJc w:val="left"/>
      <w:pPr>
        <w:ind w:left="150"/>
      </w:pPr>
      <w:rPr>
        <w:rFonts w:hint="eastAsia"/>
      </w:rPr>
    </w:lvl>
  </w:abstractNum>
  <w:abstractNum w:abstractNumId="5">
    <w:nsid w:val="177FEB8B"/>
    <w:multiLevelType w:val="singleLevel"/>
    <w:tmpl w:val="177FEB8B"/>
    <w:lvl w:ilvl="0" w:tentative="0">
      <w:start w:val="1"/>
      <w:numFmt w:val="decimal"/>
      <w:suff w:val="nothing"/>
      <w:lvlText w:val="%1）"/>
      <w:lvlJc w:val="left"/>
    </w:lvl>
  </w:abstractNum>
  <w:abstractNum w:abstractNumId="6">
    <w:nsid w:val="58690794"/>
    <w:multiLevelType w:val="multilevel"/>
    <w:tmpl w:val="58690794"/>
    <w:lvl w:ilvl="0" w:tentative="0">
      <w:start w:val="120"/>
      <w:numFmt w:val="bullet"/>
      <w:lvlText w:val="☆"/>
      <w:lvlJc w:val="left"/>
      <w:pPr>
        <w:tabs>
          <w:tab w:val="left" w:pos="360"/>
        </w:tabs>
        <w:ind w:left="360" w:hanging="360"/>
      </w:pPr>
      <w:rPr>
        <w:rFonts w:hint="eastAsia" w:ascii="楷体_GB2312" w:hAnsi="Times New Roman" w:eastAsia="楷体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B78B4AF"/>
    <w:multiLevelType w:val="singleLevel"/>
    <w:tmpl w:val="7B78B4AF"/>
    <w:lvl w:ilvl="0" w:tentative="0">
      <w:start w:val="3"/>
      <w:numFmt w:val="decimal"/>
      <w:suff w:val="nothing"/>
      <w:lvlText w:val="%1、"/>
      <w:lvlJc w:val="left"/>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3150010"/>
    <w:rsid w:val="03367A86"/>
    <w:rsid w:val="03434211"/>
    <w:rsid w:val="0349418E"/>
    <w:rsid w:val="03884130"/>
    <w:rsid w:val="0390015A"/>
    <w:rsid w:val="03B0747B"/>
    <w:rsid w:val="03C439AF"/>
    <w:rsid w:val="03D71AFF"/>
    <w:rsid w:val="03E652E9"/>
    <w:rsid w:val="041A0C8F"/>
    <w:rsid w:val="046D1D57"/>
    <w:rsid w:val="048015D5"/>
    <w:rsid w:val="04BE3D90"/>
    <w:rsid w:val="050312E6"/>
    <w:rsid w:val="05230D12"/>
    <w:rsid w:val="05606B64"/>
    <w:rsid w:val="056A1349"/>
    <w:rsid w:val="056C28AB"/>
    <w:rsid w:val="05973437"/>
    <w:rsid w:val="061E2E95"/>
    <w:rsid w:val="06D852FF"/>
    <w:rsid w:val="06DC5B77"/>
    <w:rsid w:val="06F040A3"/>
    <w:rsid w:val="07041C7C"/>
    <w:rsid w:val="071024A9"/>
    <w:rsid w:val="077202F8"/>
    <w:rsid w:val="07F369E3"/>
    <w:rsid w:val="08135F53"/>
    <w:rsid w:val="084861FD"/>
    <w:rsid w:val="086E5A18"/>
    <w:rsid w:val="08784FB1"/>
    <w:rsid w:val="08B3004C"/>
    <w:rsid w:val="0912519A"/>
    <w:rsid w:val="0A0D2237"/>
    <w:rsid w:val="0A590099"/>
    <w:rsid w:val="0A856C30"/>
    <w:rsid w:val="0A891D97"/>
    <w:rsid w:val="0B495814"/>
    <w:rsid w:val="0C0257D6"/>
    <w:rsid w:val="0C373C5A"/>
    <w:rsid w:val="0D2B7710"/>
    <w:rsid w:val="0D436424"/>
    <w:rsid w:val="0D4870C2"/>
    <w:rsid w:val="0D7427FE"/>
    <w:rsid w:val="0D78723E"/>
    <w:rsid w:val="0DB61575"/>
    <w:rsid w:val="0E051AE4"/>
    <w:rsid w:val="0E4D0891"/>
    <w:rsid w:val="0E8122BC"/>
    <w:rsid w:val="0EAB583F"/>
    <w:rsid w:val="0EDC4786"/>
    <w:rsid w:val="0EE53584"/>
    <w:rsid w:val="0EE620AA"/>
    <w:rsid w:val="0F4260E1"/>
    <w:rsid w:val="0F60090A"/>
    <w:rsid w:val="0F99650A"/>
    <w:rsid w:val="0FB84D2A"/>
    <w:rsid w:val="0FCD7E91"/>
    <w:rsid w:val="0FE14BDA"/>
    <w:rsid w:val="1002493A"/>
    <w:rsid w:val="106C5F12"/>
    <w:rsid w:val="10AF05D3"/>
    <w:rsid w:val="11182823"/>
    <w:rsid w:val="11A75E53"/>
    <w:rsid w:val="11F71227"/>
    <w:rsid w:val="122E398A"/>
    <w:rsid w:val="1272617A"/>
    <w:rsid w:val="13193495"/>
    <w:rsid w:val="13AB5F7D"/>
    <w:rsid w:val="13BE057F"/>
    <w:rsid w:val="13E80C01"/>
    <w:rsid w:val="141C79BA"/>
    <w:rsid w:val="14210684"/>
    <w:rsid w:val="14CC7FBE"/>
    <w:rsid w:val="14DA09CD"/>
    <w:rsid w:val="15665FBF"/>
    <w:rsid w:val="159717F1"/>
    <w:rsid w:val="15D333B2"/>
    <w:rsid w:val="15D50AF0"/>
    <w:rsid w:val="15DF7E95"/>
    <w:rsid w:val="16112AC3"/>
    <w:rsid w:val="169B7F23"/>
    <w:rsid w:val="16CC6CB0"/>
    <w:rsid w:val="16D25E7C"/>
    <w:rsid w:val="16DB593C"/>
    <w:rsid w:val="172C7C30"/>
    <w:rsid w:val="172F46FB"/>
    <w:rsid w:val="17306CCA"/>
    <w:rsid w:val="173D36A0"/>
    <w:rsid w:val="1798572E"/>
    <w:rsid w:val="17BA2FC0"/>
    <w:rsid w:val="17C401C6"/>
    <w:rsid w:val="17F12DBF"/>
    <w:rsid w:val="18213C48"/>
    <w:rsid w:val="187F17E9"/>
    <w:rsid w:val="18941805"/>
    <w:rsid w:val="18AE7B1E"/>
    <w:rsid w:val="18B30AEE"/>
    <w:rsid w:val="18C82795"/>
    <w:rsid w:val="1A8F5291"/>
    <w:rsid w:val="1A926929"/>
    <w:rsid w:val="1AA65D2A"/>
    <w:rsid w:val="1AE40441"/>
    <w:rsid w:val="1AE83095"/>
    <w:rsid w:val="1B2F31D4"/>
    <w:rsid w:val="1B820215"/>
    <w:rsid w:val="1B855CC2"/>
    <w:rsid w:val="1B8E19C5"/>
    <w:rsid w:val="1BD61A6E"/>
    <w:rsid w:val="1C4421BA"/>
    <w:rsid w:val="1C6E5FCF"/>
    <w:rsid w:val="1CEB56BA"/>
    <w:rsid w:val="1D1C5A95"/>
    <w:rsid w:val="1D521B1E"/>
    <w:rsid w:val="1D7303B8"/>
    <w:rsid w:val="1E0B2AF9"/>
    <w:rsid w:val="1E5A22DA"/>
    <w:rsid w:val="1EFC07C3"/>
    <w:rsid w:val="1F005C89"/>
    <w:rsid w:val="1F097398"/>
    <w:rsid w:val="1F742706"/>
    <w:rsid w:val="1F7635A0"/>
    <w:rsid w:val="1FBD2350"/>
    <w:rsid w:val="1FC365F5"/>
    <w:rsid w:val="1FDF5663"/>
    <w:rsid w:val="201F11FF"/>
    <w:rsid w:val="20F26632"/>
    <w:rsid w:val="20FD708F"/>
    <w:rsid w:val="215A2D2B"/>
    <w:rsid w:val="21CF183F"/>
    <w:rsid w:val="221360BD"/>
    <w:rsid w:val="22687FAA"/>
    <w:rsid w:val="22E60075"/>
    <w:rsid w:val="23054888"/>
    <w:rsid w:val="24136224"/>
    <w:rsid w:val="2468603A"/>
    <w:rsid w:val="24B14C0A"/>
    <w:rsid w:val="24E1360E"/>
    <w:rsid w:val="24F43360"/>
    <w:rsid w:val="251F451F"/>
    <w:rsid w:val="253E3B06"/>
    <w:rsid w:val="254119F6"/>
    <w:rsid w:val="254C365E"/>
    <w:rsid w:val="25885BF4"/>
    <w:rsid w:val="25AF0589"/>
    <w:rsid w:val="25CA6107"/>
    <w:rsid w:val="260A7170"/>
    <w:rsid w:val="260D435E"/>
    <w:rsid w:val="267805BF"/>
    <w:rsid w:val="26B07746"/>
    <w:rsid w:val="26D30769"/>
    <w:rsid w:val="26E82628"/>
    <w:rsid w:val="26EE1BC2"/>
    <w:rsid w:val="271E0AF9"/>
    <w:rsid w:val="271E135D"/>
    <w:rsid w:val="274517CA"/>
    <w:rsid w:val="27455109"/>
    <w:rsid w:val="27730977"/>
    <w:rsid w:val="27A631E5"/>
    <w:rsid w:val="27CD3C2E"/>
    <w:rsid w:val="27DE6CEA"/>
    <w:rsid w:val="282D6330"/>
    <w:rsid w:val="28365904"/>
    <w:rsid w:val="28555716"/>
    <w:rsid w:val="29433888"/>
    <w:rsid w:val="29796FA2"/>
    <w:rsid w:val="29CB6173"/>
    <w:rsid w:val="29DA05BC"/>
    <w:rsid w:val="2A125857"/>
    <w:rsid w:val="2A274DBD"/>
    <w:rsid w:val="2A351FC9"/>
    <w:rsid w:val="2B5017D0"/>
    <w:rsid w:val="2B6547B6"/>
    <w:rsid w:val="2B6C55D5"/>
    <w:rsid w:val="2C1F57EB"/>
    <w:rsid w:val="2C287093"/>
    <w:rsid w:val="2C406C2D"/>
    <w:rsid w:val="2C9B039E"/>
    <w:rsid w:val="2CF905AF"/>
    <w:rsid w:val="2D4E26D8"/>
    <w:rsid w:val="2D951CB1"/>
    <w:rsid w:val="2DB529A4"/>
    <w:rsid w:val="2DBA2BDA"/>
    <w:rsid w:val="2DD850C8"/>
    <w:rsid w:val="2EBB6C7E"/>
    <w:rsid w:val="302E6B52"/>
    <w:rsid w:val="303B332C"/>
    <w:rsid w:val="309B4BAC"/>
    <w:rsid w:val="30AD0B0B"/>
    <w:rsid w:val="30AD5BD8"/>
    <w:rsid w:val="30BD5B90"/>
    <w:rsid w:val="30FF5561"/>
    <w:rsid w:val="31676BE5"/>
    <w:rsid w:val="31A6620E"/>
    <w:rsid w:val="31B01BE5"/>
    <w:rsid w:val="31F80D17"/>
    <w:rsid w:val="32432AB5"/>
    <w:rsid w:val="32DC279D"/>
    <w:rsid w:val="32E73FC4"/>
    <w:rsid w:val="340039C8"/>
    <w:rsid w:val="34087FEB"/>
    <w:rsid w:val="342B15C8"/>
    <w:rsid w:val="345C3C5B"/>
    <w:rsid w:val="348271B1"/>
    <w:rsid w:val="34A1676B"/>
    <w:rsid w:val="35305F1A"/>
    <w:rsid w:val="357471B3"/>
    <w:rsid w:val="35C40913"/>
    <w:rsid w:val="36016185"/>
    <w:rsid w:val="365E7716"/>
    <w:rsid w:val="367414C5"/>
    <w:rsid w:val="367B21AF"/>
    <w:rsid w:val="36972799"/>
    <w:rsid w:val="376C137D"/>
    <w:rsid w:val="37801FED"/>
    <w:rsid w:val="378034E1"/>
    <w:rsid w:val="381B2009"/>
    <w:rsid w:val="38694118"/>
    <w:rsid w:val="38EF2F8B"/>
    <w:rsid w:val="39715BCA"/>
    <w:rsid w:val="39E16CEA"/>
    <w:rsid w:val="39E65EB2"/>
    <w:rsid w:val="3A3C1B19"/>
    <w:rsid w:val="3A5A5B4C"/>
    <w:rsid w:val="3A707E9D"/>
    <w:rsid w:val="3AF476DA"/>
    <w:rsid w:val="3B7B2DF1"/>
    <w:rsid w:val="3B842B30"/>
    <w:rsid w:val="3C016F3D"/>
    <w:rsid w:val="3C160CE7"/>
    <w:rsid w:val="3C185753"/>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32C7C27"/>
    <w:rsid w:val="438247B4"/>
    <w:rsid w:val="4398751D"/>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F0F7C"/>
    <w:rsid w:val="47E6537B"/>
    <w:rsid w:val="47EE06D0"/>
    <w:rsid w:val="48103DE7"/>
    <w:rsid w:val="48CC6A94"/>
    <w:rsid w:val="49280868"/>
    <w:rsid w:val="493A236B"/>
    <w:rsid w:val="493C7423"/>
    <w:rsid w:val="49B12923"/>
    <w:rsid w:val="49C22F2A"/>
    <w:rsid w:val="49D76984"/>
    <w:rsid w:val="4A0E7344"/>
    <w:rsid w:val="4B243536"/>
    <w:rsid w:val="4B5D38AB"/>
    <w:rsid w:val="4C206459"/>
    <w:rsid w:val="4C3B5D13"/>
    <w:rsid w:val="4C5D48BB"/>
    <w:rsid w:val="4CFA592E"/>
    <w:rsid w:val="4D065F60"/>
    <w:rsid w:val="4D460E50"/>
    <w:rsid w:val="4D503DD0"/>
    <w:rsid w:val="4D7C7C5B"/>
    <w:rsid w:val="4D8B0521"/>
    <w:rsid w:val="4DC61D3D"/>
    <w:rsid w:val="4E93508B"/>
    <w:rsid w:val="4EA677AA"/>
    <w:rsid w:val="4EA74AD5"/>
    <w:rsid w:val="4EE41698"/>
    <w:rsid w:val="4EF17687"/>
    <w:rsid w:val="4F1C297B"/>
    <w:rsid w:val="506B7711"/>
    <w:rsid w:val="50F54D40"/>
    <w:rsid w:val="51422989"/>
    <w:rsid w:val="514B08B3"/>
    <w:rsid w:val="515040FB"/>
    <w:rsid w:val="515C51C4"/>
    <w:rsid w:val="516E081B"/>
    <w:rsid w:val="51C0122A"/>
    <w:rsid w:val="51DB4B2F"/>
    <w:rsid w:val="51FB1166"/>
    <w:rsid w:val="520A57F3"/>
    <w:rsid w:val="520D309A"/>
    <w:rsid w:val="52525EF7"/>
    <w:rsid w:val="52642D4A"/>
    <w:rsid w:val="5292601A"/>
    <w:rsid w:val="53503802"/>
    <w:rsid w:val="53B177DE"/>
    <w:rsid w:val="53B54338"/>
    <w:rsid w:val="53C4235B"/>
    <w:rsid w:val="54115C7D"/>
    <w:rsid w:val="549C4E11"/>
    <w:rsid w:val="5500558D"/>
    <w:rsid w:val="5502245D"/>
    <w:rsid w:val="552B5E58"/>
    <w:rsid w:val="55AC5BAC"/>
    <w:rsid w:val="55F95758"/>
    <w:rsid w:val="566429C6"/>
    <w:rsid w:val="571C5DFB"/>
    <w:rsid w:val="574E17BF"/>
    <w:rsid w:val="57BB201A"/>
    <w:rsid w:val="57D869BC"/>
    <w:rsid w:val="57DE6F09"/>
    <w:rsid w:val="589565BD"/>
    <w:rsid w:val="58E80EDC"/>
    <w:rsid w:val="597345C7"/>
    <w:rsid w:val="59E65E5D"/>
    <w:rsid w:val="5A187799"/>
    <w:rsid w:val="5A336748"/>
    <w:rsid w:val="5AAE5A18"/>
    <w:rsid w:val="5ACC308A"/>
    <w:rsid w:val="5AE900E2"/>
    <w:rsid w:val="5B0A31F7"/>
    <w:rsid w:val="5B280EA8"/>
    <w:rsid w:val="5B7756EE"/>
    <w:rsid w:val="5C1979D0"/>
    <w:rsid w:val="5C905C5B"/>
    <w:rsid w:val="5CB52F1B"/>
    <w:rsid w:val="5D012C7D"/>
    <w:rsid w:val="5D4F3105"/>
    <w:rsid w:val="5D88711C"/>
    <w:rsid w:val="5D8F19D7"/>
    <w:rsid w:val="5DB01C31"/>
    <w:rsid w:val="5E9E6153"/>
    <w:rsid w:val="5F3C78DD"/>
    <w:rsid w:val="5F4A40D7"/>
    <w:rsid w:val="5F69598C"/>
    <w:rsid w:val="5FE332FB"/>
    <w:rsid w:val="607E3094"/>
    <w:rsid w:val="60B75DDE"/>
    <w:rsid w:val="60BE4FE7"/>
    <w:rsid w:val="60E27AA8"/>
    <w:rsid w:val="611541E5"/>
    <w:rsid w:val="611634A5"/>
    <w:rsid w:val="612918A9"/>
    <w:rsid w:val="617C202A"/>
    <w:rsid w:val="61831213"/>
    <w:rsid w:val="61F9226F"/>
    <w:rsid w:val="62347C4E"/>
    <w:rsid w:val="62413F68"/>
    <w:rsid w:val="62B216E9"/>
    <w:rsid w:val="6345665D"/>
    <w:rsid w:val="63A770E2"/>
    <w:rsid w:val="63CA32E4"/>
    <w:rsid w:val="64471ADD"/>
    <w:rsid w:val="644C3D97"/>
    <w:rsid w:val="646C6C3C"/>
    <w:rsid w:val="648E67A2"/>
    <w:rsid w:val="651506D2"/>
    <w:rsid w:val="65367B60"/>
    <w:rsid w:val="65A278FC"/>
    <w:rsid w:val="65CA6060"/>
    <w:rsid w:val="660268CD"/>
    <w:rsid w:val="66A56C29"/>
    <w:rsid w:val="66B371D4"/>
    <w:rsid w:val="66C37535"/>
    <w:rsid w:val="680717F3"/>
    <w:rsid w:val="682F1ACF"/>
    <w:rsid w:val="68574053"/>
    <w:rsid w:val="688B4EF9"/>
    <w:rsid w:val="68DF5DD6"/>
    <w:rsid w:val="69362F91"/>
    <w:rsid w:val="698862F8"/>
    <w:rsid w:val="698D49FA"/>
    <w:rsid w:val="6A306C00"/>
    <w:rsid w:val="6A474519"/>
    <w:rsid w:val="6A6C5876"/>
    <w:rsid w:val="6AA771B1"/>
    <w:rsid w:val="6AEA254C"/>
    <w:rsid w:val="6AED09DC"/>
    <w:rsid w:val="6B455019"/>
    <w:rsid w:val="6B4B7981"/>
    <w:rsid w:val="6B601BF6"/>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76D8A"/>
    <w:rsid w:val="702B14E6"/>
    <w:rsid w:val="70BE737E"/>
    <w:rsid w:val="70C44612"/>
    <w:rsid w:val="717F10F4"/>
    <w:rsid w:val="718D4783"/>
    <w:rsid w:val="719D6E74"/>
    <w:rsid w:val="71BA461C"/>
    <w:rsid w:val="71F13376"/>
    <w:rsid w:val="7215163A"/>
    <w:rsid w:val="726A0820"/>
    <w:rsid w:val="72F2709B"/>
    <w:rsid w:val="72F7346D"/>
    <w:rsid w:val="730A718B"/>
    <w:rsid w:val="732E1E62"/>
    <w:rsid w:val="736F1136"/>
    <w:rsid w:val="73AB533D"/>
    <w:rsid w:val="73EE3506"/>
    <w:rsid w:val="74035473"/>
    <w:rsid w:val="741D2E7E"/>
    <w:rsid w:val="742142D2"/>
    <w:rsid w:val="74265207"/>
    <w:rsid w:val="74487A2A"/>
    <w:rsid w:val="748E6692"/>
    <w:rsid w:val="74A46CC4"/>
    <w:rsid w:val="74A9368D"/>
    <w:rsid w:val="74B10C4E"/>
    <w:rsid w:val="74FB6BA8"/>
    <w:rsid w:val="754D3DC6"/>
    <w:rsid w:val="76BE2504"/>
    <w:rsid w:val="76D877A5"/>
    <w:rsid w:val="776039FA"/>
    <w:rsid w:val="778426EF"/>
    <w:rsid w:val="77985985"/>
    <w:rsid w:val="77C54F50"/>
    <w:rsid w:val="77DD088D"/>
    <w:rsid w:val="78686335"/>
    <w:rsid w:val="78B05C1C"/>
    <w:rsid w:val="78DF275E"/>
    <w:rsid w:val="78EC0AAB"/>
    <w:rsid w:val="79064CC7"/>
    <w:rsid w:val="791B1290"/>
    <w:rsid w:val="792646D8"/>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D205032"/>
    <w:rsid w:val="7D2B151D"/>
    <w:rsid w:val="7D5F6DF7"/>
    <w:rsid w:val="7ED30E55"/>
    <w:rsid w:val="7F1F1D47"/>
    <w:rsid w:val="7FA46EC7"/>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13</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2023-09-22T03:32:21Z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