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val="en-US" w:eastAsia="zh-CN"/>
        </w:rPr>
        <w:t>柏海汇污水厂2023年度运营审计项目</w:t>
      </w:r>
      <w:r>
        <w:rPr>
          <w:rFonts w:hint="eastAsia" w:ascii="宋体" w:hAnsi="宋体" w:eastAsia="宋体" w:cs="宋体"/>
          <w:b/>
          <w:bCs/>
          <w:spacing w:val="-10"/>
          <w:kern w:val="0"/>
          <w:sz w:val="28"/>
          <w:szCs w:val="28"/>
          <w:lang w:eastAsia="zh-CN"/>
        </w:rPr>
        <w:t>询价函</w:t>
      </w:r>
    </w:p>
    <w:p>
      <w:pPr>
        <w:pStyle w:val="12"/>
        <w:jc w:val="both"/>
        <w:rPr>
          <w:rFonts w:hint="eastAsia" w:ascii="新宋体" w:hAnsi="新宋体" w:eastAsia="新宋体" w:cs="新宋体"/>
          <w:b/>
          <w:kern w:val="0"/>
          <w:sz w:val="21"/>
          <w:szCs w:val="21"/>
        </w:rPr>
      </w:pPr>
    </w:p>
    <w:p>
      <w:pPr>
        <w:pStyle w:val="12"/>
        <w:numPr>
          <w:ilvl w:val="0"/>
          <w:numId w:val="0"/>
        </w:numPr>
        <w:jc w:val="both"/>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一、项目名称</w:t>
      </w:r>
      <w:r>
        <w:rPr>
          <w:rFonts w:hint="eastAsia" w:ascii="新宋体" w:hAnsi="新宋体" w:eastAsia="新宋体" w:cs="新宋体"/>
          <w:b/>
          <w:kern w:val="0"/>
          <w:sz w:val="21"/>
          <w:szCs w:val="21"/>
          <w:lang w:val="en-US" w:eastAsia="zh-CN"/>
        </w:rPr>
        <w:t>：</w:t>
      </w:r>
      <w:r>
        <w:rPr>
          <w:rFonts w:hint="eastAsia" w:ascii="新宋体" w:hAnsi="新宋体" w:eastAsia="新宋体" w:cs="新宋体"/>
          <w:b/>
          <w:kern w:val="0"/>
          <w:sz w:val="24"/>
          <w:szCs w:val="24"/>
          <w:lang w:val="en-US" w:eastAsia="zh-CN"/>
        </w:rPr>
        <w:t>柏海汇污水厂2023年度运营审计项目</w:t>
      </w:r>
    </w:p>
    <w:p>
      <w:pPr>
        <w:pStyle w:val="12"/>
        <w:numPr>
          <w:ilvl w:val="0"/>
          <w:numId w:val="0"/>
        </w:numPr>
        <w:jc w:val="both"/>
        <w:rPr>
          <w:rFonts w:hint="eastAsia" w:ascii="新宋体" w:hAnsi="新宋体" w:eastAsia="新宋体" w:cs="新宋体"/>
          <w:b/>
          <w:kern w:val="0"/>
          <w:sz w:val="21"/>
          <w:szCs w:val="21"/>
          <w:lang w:val="en-US" w:eastAsia="zh-CN"/>
        </w:rPr>
      </w:pPr>
    </w:p>
    <w:p>
      <w:pPr>
        <w:pStyle w:val="12"/>
        <w:numPr>
          <w:ilvl w:val="0"/>
          <w:numId w:val="0"/>
        </w:numPr>
        <w:ind w:left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二、项目概括</w:t>
      </w:r>
      <w:r>
        <w:rPr>
          <w:rFonts w:hint="eastAsia" w:ascii="新宋体" w:hAnsi="新宋体" w:eastAsia="新宋体" w:cs="新宋体"/>
          <w:b/>
          <w:kern w:val="0"/>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最高限价：</w:t>
      </w:r>
      <w:r>
        <w:rPr>
          <w:rFonts w:hint="eastAsia" w:ascii="宋体" w:hAnsi="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en-US" w:eastAsia="zh-CN" w:bidi="ar-SA"/>
        </w:rPr>
        <w:t>万元</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含6%增值税</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480" w:firstLineChars="200"/>
        <w:textAlignment w:val="auto"/>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2、服务内容：</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w:t>
      </w:r>
      <w:r>
        <w:rPr>
          <w:rFonts w:hint="eastAsia" w:ascii="宋体" w:hAnsi="宋体" w:cs="宋体"/>
          <w:b w:val="0"/>
          <w:color w:val="auto"/>
          <w:kern w:val="2"/>
          <w:sz w:val="24"/>
          <w:szCs w:val="24"/>
          <w:lang w:val="en-US" w:eastAsia="zh-CN" w:bidi="ar-SA"/>
        </w:rPr>
        <w:t>柏海汇污水厂2023年度发生的资产折旧、摊销及其他费用支出审计；</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（2）第三方委托运维单位发生运用费用审计；</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default" w:ascii="宋体" w:hAnsi="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（3）按照《南通市污水处理服务成本规制办法》对运维费用进行归集分类。</w:t>
      </w:r>
    </w:p>
    <w:p>
      <w:pPr>
        <w:pStyle w:val="13"/>
        <w:ind w:left="0" w:leftChars="0" w:firstLine="0" w:firstLineChars="0"/>
        <w:rPr>
          <w:rFonts w:hint="eastAsia" w:ascii="宋体" w:hAnsi="宋体" w:eastAsia="宋体" w:cs="宋体"/>
          <w:b/>
          <w:kern w:val="0"/>
          <w:sz w:val="24"/>
          <w:szCs w:val="24"/>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、资格要求：</w:t>
      </w:r>
    </w:p>
    <w:p>
      <w:pPr>
        <w:widowControl/>
        <w:spacing w:line="590" w:lineRule="exact"/>
        <w:ind w:right="23" w:firstLine="480" w:firstLineChars="200"/>
        <w:rPr>
          <w:rFonts w:ascii="宋体" w:hAnsi="宋体" w:cs="宋体"/>
          <w:sz w:val="24"/>
          <w:highlight w:val="yellow"/>
        </w:rPr>
      </w:pPr>
      <w:r>
        <w:rPr>
          <w:rFonts w:hint="eastAsia" w:ascii="宋体" w:hAnsi="宋体" w:cs="宋体"/>
          <w:sz w:val="24"/>
        </w:rPr>
        <w:t>（1）供应商为具有有效的营业执照的会计师事务所；</w:t>
      </w:r>
    </w:p>
    <w:p>
      <w:pPr>
        <w:widowControl/>
        <w:spacing w:line="590" w:lineRule="exact"/>
        <w:ind w:right="23" w:firstLine="480" w:firstLineChars="200"/>
        <w:rPr>
          <w:rFonts w:ascii="宋体" w:hAnsi="宋体" w:cs="宋体"/>
          <w:sz w:val="24"/>
        </w:rPr>
      </w:pPr>
      <w:r>
        <w:rPr>
          <w:rFonts w:hint="eastAsia" w:ascii="宋体" w:hAnsi="宋体" w:cs="宋体"/>
          <w:sz w:val="24"/>
        </w:rPr>
        <w:t>（2）本项目不接受联合体形式投标；</w:t>
      </w:r>
    </w:p>
    <w:p>
      <w:pPr>
        <w:widowControl/>
        <w:spacing w:line="590" w:lineRule="exact"/>
        <w:ind w:right="23" w:firstLine="480" w:firstLineChars="200"/>
      </w:pPr>
      <w:r>
        <w:rPr>
          <w:rFonts w:hint="eastAsia" w:ascii="宋体" w:hAnsi="宋体" w:cs="宋体"/>
          <w:sz w:val="24"/>
        </w:rPr>
        <w:t>（3）供应商近3年有污水厂运营成本审计经验（提供合同佐证）。</w:t>
      </w:r>
    </w:p>
    <w:p>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cs="宋体"/>
          <w:b/>
          <w:kern w:val="0"/>
          <w:sz w:val="24"/>
          <w:szCs w:val="24"/>
          <w:lang w:val="en-US" w:eastAsia="zh-CN"/>
        </w:rPr>
        <w:t>四</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1、投标文件密封递交的截止时间（投标截止时间，下同）为2024年</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月</w:t>
      </w:r>
      <w:r>
        <w:rPr>
          <w:rFonts w:hint="eastAsia" w:ascii="宋体" w:hAnsi="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日上午</w:t>
      </w:r>
      <w:r>
        <w:rPr>
          <w:rFonts w:hint="eastAsia" w:ascii="宋体" w:hAnsi="宋体" w:eastAsia="宋体" w:cs="宋体"/>
          <w:b w:val="0"/>
          <w:color w:val="auto"/>
          <w:kern w:val="2"/>
          <w:sz w:val="24"/>
          <w:szCs w:val="24"/>
          <w:highlight w:val="none"/>
          <w:lang w:val="en-US" w:eastAsia="zh-CN" w:bidi="ar-SA"/>
        </w:rPr>
        <w:t>09:40前，投</w:t>
      </w:r>
      <w:r>
        <w:rPr>
          <w:rFonts w:hint="eastAsia" w:ascii="宋体" w:hAnsi="宋体" w:eastAsia="宋体" w:cs="宋体"/>
          <w:b w:val="0"/>
          <w:color w:val="auto"/>
          <w:kern w:val="2"/>
          <w:sz w:val="24"/>
          <w:szCs w:val="24"/>
          <w:lang w:val="en-US" w:eastAsia="zh-CN" w:bidi="ar-SA"/>
        </w:rPr>
        <w:t xml:space="preserve">标单位需在此之前将投标文件邮寄或送达，逾期送达的不予接收。地点为：通州湾示范区政务中心向南300米，通州湾自来水公司三楼会议室。注：如为邮寄，须充分考虑邮件送达时间。  </w:t>
      </w:r>
    </w:p>
    <w:p>
      <w:pPr>
        <w:keepNext w:val="0"/>
        <w:keepLines w:val="0"/>
        <w:pageBreakBefore w:val="0"/>
        <w:widowControl/>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、评标办法：</w:t>
      </w:r>
      <w:r>
        <w:rPr>
          <w:rFonts w:hint="eastAsia" w:ascii="宋体" w:hAnsi="宋体" w:eastAsia="宋体" w:cs="宋体"/>
          <w:b w:val="0"/>
          <w:color w:val="auto"/>
          <w:kern w:val="2"/>
          <w:sz w:val="24"/>
          <w:szCs w:val="24"/>
          <w:lang w:val="en-US" w:eastAsia="zh-CN" w:bidi="ar-SA"/>
        </w:rPr>
        <w:t>一次性报价最低标价法。到投标截止时间止，若投标人不足三家或经评审后有效投标人不足三家时，招标人有权采用竞争性谈判确定中标单位。</w:t>
      </w:r>
    </w:p>
    <w:p>
      <w:pPr>
        <w:pStyle w:val="4"/>
        <w:pageBreakBefore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ascii="宋体" w:hAnsi="宋体" w:eastAsia="宋体" w:cs="宋体"/>
          <w:b/>
          <w:bCs/>
          <w:kern w:val="2"/>
          <w:sz w:val="24"/>
          <w:szCs w:val="24"/>
          <w:highlight w:val="none"/>
          <w:lang w:val="en-US" w:eastAsia="zh-CN" w:bidi="ar-SA"/>
        </w:rPr>
        <w:t>六、评委费由中标单位支付，评委费按实支付。</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七</w:t>
      </w:r>
      <w:r>
        <w:rPr>
          <w:rFonts w:hint="eastAsia" w:ascii="宋体" w:hAnsi="宋体" w:eastAsia="宋体" w:cs="宋体"/>
          <w:b/>
          <w:kern w:val="0"/>
          <w:sz w:val="24"/>
          <w:szCs w:val="24"/>
          <w:highlight w:val="none"/>
          <w:lang w:val="en-US" w:eastAsia="zh-CN"/>
        </w:rPr>
        <w:t>、确定方式：</w:t>
      </w:r>
    </w:p>
    <w:p>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 xml:space="preserve"> 2</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2、询价响应投标函；3、授权委托书或法定代表人身份证明</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4、有效的企业法人营业执照（副本）复印件；</w:t>
      </w:r>
      <w:r>
        <w:rPr>
          <w:rFonts w:hint="eastAsia" w:ascii="宋体" w:hAnsi="宋体" w:cs="宋体"/>
          <w:color w:val="auto"/>
          <w:kern w:val="2"/>
          <w:sz w:val="24"/>
          <w:szCs w:val="24"/>
          <w:lang w:val="en-US" w:eastAsia="zh-CN" w:bidi="ar-SA"/>
        </w:rPr>
        <w:t>5、提供合同复印件并加盖公章。</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完成全部工作内容并出具正式报告经示范区建设交通局、柏海汇污水公司确认后，甲方（南通柏海汇污水处理有限公司）于30日内向乙方支付全部合同款，乙方应在合同约定的付款期限前，向甲方开具相应金额的增值税专用发票，</w:t>
      </w:r>
      <w:r>
        <w:rPr>
          <w:rFonts w:hint="eastAsia" w:ascii="宋体" w:hAnsi="宋体" w:eastAsia="宋体" w:cs="宋体"/>
          <w:sz w:val="24"/>
          <w:szCs w:val="24"/>
          <w:highlight w:val="none"/>
          <w:lang w:eastAsia="zh-CN"/>
        </w:rPr>
        <w:t>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八</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电话：15951300810                         </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1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31</w:t>
      </w:r>
      <w:bookmarkStart w:id="0" w:name="_GoBack"/>
      <w:bookmarkEnd w:id="0"/>
      <w:r>
        <w:rPr>
          <w:rFonts w:hint="eastAsia" w:ascii="新宋体" w:hAnsi="新宋体" w:eastAsia="新宋体" w:cs="新宋体"/>
          <w:sz w:val="24"/>
          <w:szCs w:val="24"/>
          <w:highlight w:val="none"/>
          <w:lang w:val="en-US" w:eastAsia="zh-CN"/>
        </w:rPr>
        <w:t>日</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pStyle w:val="4"/>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5"/>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5"/>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5"/>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5"/>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A1690"/>
    <w:multiLevelType w:val="singleLevel"/>
    <w:tmpl w:val="C22A1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DC2E52"/>
    <w:rsid w:val="0E1944B9"/>
    <w:rsid w:val="0F5865F9"/>
    <w:rsid w:val="0FF07AE0"/>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856AC2"/>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4F24BB"/>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6CE3692"/>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0943A42"/>
    <w:rsid w:val="62050EC9"/>
    <w:rsid w:val="62F32D38"/>
    <w:rsid w:val="631A740A"/>
    <w:rsid w:val="6336277D"/>
    <w:rsid w:val="63591EDD"/>
    <w:rsid w:val="63C445C8"/>
    <w:rsid w:val="64285AC1"/>
    <w:rsid w:val="64417F62"/>
    <w:rsid w:val="650418B5"/>
    <w:rsid w:val="659746FE"/>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7E55B0"/>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pPr>
  </w:style>
  <w:style w:type="paragraph" w:customStyle="1" w:styleId="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link w:val="18"/>
    <w:autoRedefine/>
    <w:qFormat/>
    <w:uiPriority w:val="99"/>
    <w:pPr>
      <w:adjustRightInd w:val="0"/>
      <w:spacing w:line="360" w:lineRule="atLeast"/>
      <w:ind w:firstLine="482"/>
      <w:textAlignment w:val="baseline"/>
    </w:pPr>
    <w:rPr>
      <w:kern w:val="0"/>
      <w:sz w:val="24"/>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2"/>
    <w:autoRedefine/>
    <w:qFormat/>
    <w:uiPriority w:val="0"/>
    <w:rPr>
      <w:rFonts w:ascii="Times New Roman" w:hAnsi="Times New Roman" w:eastAsia="宋体" w:cs="Times New Roman"/>
      <w:szCs w:val="24"/>
    </w:rPr>
  </w:style>
  <w:style w:type="character" w:customStyle="1" w:styleId="18">
    <w:name w:val="正文缩进 字符"/>
    <w:link w:val="5"/>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105</TotalTime>
  <ScaleCrop>false</ScaleCrop>
  <LinksUpToDate>false</LinksUpToDate>
  <CharactersWithSpaces>2562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2024-01-17T03:20:00Z</cp:lastPrinted>
  <dcterms:modified xsi:type="dcterms:W3CDTF">2024-01-31T04:18:18Z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670BF5723C65487CA90F108E516CBB73_13</vt:lpwstr>
  </property>
</Properties>
</file>